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44" w:rsidRPr="00526B44" w:rsidRDefault="00526B44" w:rsidP="00526B44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526B4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Задание:</w:t>
      </w:r>
    </w:p>
    <w:p w:rsidR="00526B44" w:rsidRPr="00526B44" w:rsidRDefault="00526B44" w:rsidP="00526B44">
      <w:pPr>
        <w:widowControl/>
        <w:numPr>
          <w:ilvl w:val="0"/>
          <w:numId w:val="4"/>
        </w:numPr>
        <w:suppressAutoHyphens w:val="0"/>
        <w:spacing w:after="200" w:line="276" w:lineRule="auto"/>
        <w:ind w:left="0"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526B4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Ознакомиться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 лекцией, </w:t>
      </w:r>
      <w:r w:rsidRPr="00526B44"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>сделать краткий конспект</w:t>
      </w:r>
      <w:r>
        <w:rPr>
          <w:rFonts w:eastAsia="Times New Roman" w:cs="Times New Roman"/>
          <w:color w:val="auto"/>
          <w:sz w:val="28"/>
          <w:szCs w:val="28"/>
          <w:u w:val="single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 отправить его на почту</w:t>
      </w:r>
      <w:r w:rsidRPr="00526B4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hyperlink r:id="rId6" w:history="1">
        <w:r w:rsidRPr="00526B44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ru-RU" w:eastAsia="ru-RU" w:bidi="ar-SA"/>
          </w:rPr>
          <w:t>londonharry228@gmail.com</w:t>
        </w:r>
      </w:hyperlink>
      <w:r>
        <w:rPr>
          <w:rFonts w:ascii="Calibri" w:eastAsia="Times New Roman" w:hAnsi="Calibri" w:cs="Times New Roman"/>
          <w:color w:val="0000FF"/>
          <w:sz w:val="28"/>
          <w:szCs w:val="28"/>
          <w:u w:val="single"/>
          <w:lang w:val="ru-RU" w:eastAsia="ru-RU" w:bidi="ar-SA"/>
        </w:rPr>
        <w:t xml:space="preserve"> </w:t>
      </w:r>
      <w:r w:rsidRPr="00526B44"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до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  <w:t>18.00</w:t>
      </w:r>
    </w:p>
    <w:p w:rsidR="00367DD1" w:rsidRPr="00367DD1" w:rsidRDefault="00367DD1" w:rsidP="00367DD1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367DD1">
        <w:rPr>
          <w:rFonts w:cs="Times New Roman"/>
          <w:b/>
          <w:bCs/>
          <w:sz w:val="28"/>
          <w:szCs w:val="28"/>
          <w:lang w:val="ru-RU"/>
        </w:rPr>
        <w:t xml:space="preserve">Основная профессиональная образовательная </w:t>
      </w:r>
    </w:p>
    <w:p w:rsidR="00882877" w:rsidRPr="00367DD1" w:rsidRDefault="00367DD1" w:rsidP="00367DD1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367DD1">
        <w:rPr>
          <w:rFonts w:cs="Times New Roman"/>
          <w:b/>
          <w:bCs/>
          <w:sz w:val="28"/>
          <w:szCs w:val="28"/>
          <w:lang w:val="ru-RU"/>
        </w:rPr>
        <w:t>программа по специальности ЗИО.</w:t>
      </w:r>
    </w:p>
    <w:p w:rsidR="00367DD1" w:rsidRDefault="00367DD1" w:rsidP="00367DD1">
      <w:pPr>
        <w:jc w:val="center"/>
        <w:rPr>
          <w:rFonts w:cs="Times New Roman"/>
          <w:bCs/>
          <w:sz w:val="28"/>
          <w:szCs w:val="28"/>
          <w:lang w:val="ru-RU"/>
        </w:rPr>
      </w:pPr>
    </w:p>
    <w:p w:rsidR="001818E3" w:rsidRPr="001818E3" w:rsidRDefault="001818E3" w:rsidP="009812DB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1818E3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>Федеральные государственные образовательные стандарты (ФГОС)</w:t>
      </w:r>
      <w:r w:rsidRPr="001818E3">
        <w:rPr>
          <w:rFonts w:eastAsia="Times New Roman" w:cs="Times New Roman"/>
          <w:sz w:val="28"/>
          <w:szCs w:val="28"/>
          <w:lang w:val="ru-RU" w:eastAsia="ru-RU" w:bidi="ar-SA"/>
        </w:rPr>
        <w:t> – это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  <w:bookmarkStart w:id="0" w:name="_GoBack"/>
      <w:bookmarkEnd w:id="0"/>
    </w:p>
    <w:p w:rsidR="001818E3" w:rsidRPr="001818E3" w:rsidRDefault="001818E3" w:rsidP="009812DB">
      <w:pPr>
        <w:widowControl/>
        <w:suppressAutoHyphens w:val="0"/>
        <w:ind w:firstLine="709"/>
        <w:jc w:val="both"/>
        <w:rPr>
          <w:rFonts w:eastAsia="Times New Roman" w:cs="Times New Roman"/>
          <w:b/>
          <w:sz w:val="28"/>
          <w:szCs w:val="28"/>
          <w:lang w:val="ru-RU" w:eastAsia="ru-RU" w:bidi="ar-SA"/>
        </w:rPr>
      </w:pPr>
      <w:r w:rsidRPr="001818E3">
        <w:rPr>
          <w:rFonts w:eastAsia="Times New Roman" w:cs="Times New Roman"/>
          <w:b/>
          <w:sz w:val="28"/>
          <w:szCs w:val="28"/>
          <w:lang w:val="ru-RU" w:eastAsia="ru-RU" w:bidi="ar-SA"/>
        </w:rPr>
        <w:t>Федеральные государственные образовательные стандарты обеспечивают:</w:t>
      </w:r>
    </w:p>
    <w:p w:rsidR="001818E3" w:rsidRPr="001818E3" w:rsidRDefault="001818E3" w:rsidP="009812DB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1818E3">
        <w:rPr>
          <w:rFonts w:eastAsia="Times New Roman" w:cs="Times New Roman"/>
          <w:sz w:val="28"/>
          <w:szCs w:val="28"/>
          <w:lang w:val="ru-RU" w:eastAsia="ru-RU" w:bidi="ar-SA"/>
        </w:rPr>
        <w:t>единство образовательного пространства Российской Федерации;</w:t>
      </w:r>
    </w:p>
    <w:p w:rsidR="001818E3" w:rsidRPr="001818E3" w:rsidRDefault="001818E3" w:rsidP="009812DB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1818E3">
        <w:rPr>
          <w:rFonts w:eastAsia="Times New Roman" w:cs="Times New Roman"/>
          <w:sz w:val="28"/>
          <w:szCs w:val="28"/>
          <w:lang w:val="ru-RU" w:eastAsia="ru-RU" w:bidi="ar-SA"/>
        </w:rPr>
        <w:t>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1818E3" w:rsidRPr="001818E3" w:rsidRDefault="001818E3" w:rsidP="009812DB">
      <w:pPr>
        <w:widowControl/>
        <w:suppressAutoHyphens w:val="0"/>
        <w:ind w:firstLine="709"/>
        <w:jc w:val="both"/>
        <w:rPr>
          <w:rFonts w:eastAsia="Times New Roman" w:cs="Times New Roman"/>
          <w:b/>
          <w:sz w:val="28"/>
          <w:szCs w:val="28"/>
          <w:lang w:val="ru-RU" w:eastAsia="ru-RU" w:bidi="ar-SA"/>
        </w:rPr>
      </w:pPr>
      <w:r w:rsidRPr="001818E3">
        <w:rPr>
          <w:rFonts w:eastAsia="Times New Roman" w:cs="Times New Roman"/>
          <w:b/>
          <w:sz w:val="28"/>
          <w:szCs w:val="28"/>
          <w:lang w:val="ru-RU" w:eastAsia="ru-RU" w:bidi="ar-SA"/>
        </w:rPr>
        <w:t>Каждый станда</w:t>
      </w:r>
      <w:proofErr w:type="gramStart"/>
      <w:r w:rsidRPr="001818E3">
        <w:rPr>
          <w:rFonts w:eastAsia="Times New Roman" w:cs="Times New Roman"/>
          <w:b/>
          <w:sz w:val="28"/>
          <w:szCs w:val="28"/>
          <w:lang w:val="ru-RU" w:eastAsia="ru-RU" w:bidi="ar-SA"/>
        </w:rPr>
        <w:t>рт вкл</w:t>
      </w:r>
      <w:proofErr w:type="gramEnd"/>
      <w:r w:rsidRPr="001818E3">
        <w:rPr>
          <w:rFonts w:eastAsia="Times New Roman" w:cs="Times New Roman"/>
          <w:b/>
          <w:sz w:val="28"/>
          <w:szCs w:val="28"/>
          <w:lang w:val="ru-RU" w:eastAsia="ru-RU" w:bidi="ar-SA"/>
        </w:rPr>
        <w:t>ючает 3 вида требований:</w:t>
      </w:r>
    </w:p>
    <w:p w:rsidR="001818E3" w:rsidRPr="001818E3" w:rsidRDefault="001818E3" w:rsidP="009812DB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1818E3">
        <w:rPr>
          <w:rFonts w:eastAsia="Times New Roman" w:cs="Times New Roman"/>
          <w:sz w:val="28"/>
          <w:szCs w:val="28"/>
          <w:lang w:val="ru-RU" w:eastAsia="ru-RU" w:bidi="ar-SA"/>
        </w:rP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1818E3" w:rsidRPr="001818E3" w:rsidRDefault="001818E3" w:rsidP="009812DB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1818E3">
        <w:rPr>
          <w:rFonts w:eastAsia="Times New Roman" w:cs="Times New Roman"/>
          <w:sz w:val="28"/>
          <w:szCs w:val="28"/>
          <w:lang w:val="ru-RU" w:eastAsia="ru-RU" w:bidi="ar-SA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1818E3" w:rsidRPr="001818E3" w:rsidRDefault="001818E3" w:rsidP="009812DB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1818E3">
        <w:rPr>
          <w:rFonts w:eastAsia="Times New Roman" w:cs="Times New Roman"/>
          <w:sz w:val="28"/>
          <w:szCs w:val="28"/>
          <w:lang w:val="ru-RU" w:eastAsia="ru-RU" w:bidi="ar-SA"/>
        </w:rPr>
        <w:t>требования к результатам освоения основных образовательных программ.</w:t>
      </w:r>
    </w:p>
    <w:p w:rsidR="001441C9" w:rsidRPr="001441C9" w:rsidRDefault="001441C9" w:rsidP="009812DB">
      <w:pPr>
        <w:jc w:val="both"/>
        <w:rPr>
          <w:rFonts w:cs="Times New Roman"/>
          <w:b/>
          <w:sz w:val="28"/>
          <w:szCs w:val="28"/>
          <w:lang w:val="ru-RU"/>
        </w:rPr>
      </w:pPr>
      <w:r w:rsidRPr="001441C9">
        <w:rPr>
          <w:rFonts w:cs="Times New Roman"/>
          <w:b/>
          <w:sz w:val="28"/>
          <w:szCs w:val="28"/>
          <w:lang w:val="ru-RU"/>
        </w:rPr>
        <w:t>Федеральный государственный образовательный стандарт</w:t>
      </w:r>
    </w:p>
    <w:p w:rsidR="00367DD1" w:rsidRDefault="001441C9" w:rsidP="009812DB">
      <w:pPr>
        <w:jc w:val="both"/>
        <w:rPr>
          <w:rFonts w:cs="Times New Roman"/>
          <w:b/>
          <w:sz w:val="28"/>
          <w:szCs w:val="28"/>
          <w:lang w:val="ru-RU"/>
        </w:rPr>
      </w:pPr>
      <w:r w:rsidRPr="001441C9">
        <w:rPr>
          <w:rFonts w:cs="Times New Roman"/>
          <w:b/>
          <w:sz w:val="28"/>
          <w:szCs w:val="28"/>
          <w:lang w:val="ru-RU"/>
        </w:rPr>
        <w:t>среднего профессионального образования по специальности 21.02.05 Земельно-имущественные отношения</w:t>
      </w:r>
    </w:p>
    <w:p w:rsidR="001441C9" w:rsidRDefault="001441C9" w:rsidP="009812DB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D71AD2" w:rsidRPr="00EF46F8" w:rsidRDefault="00D71AD2" w:rsidP="009812DB">
      <w:pPr>
        <w:widowControl/>
        <w:shd w:val="clear" w:color="auto" w:fill="FFFFFF"/>
        <w:suppressAutoHyphens w:val="0"/>
        <w:spacing w:after="300"/>
        <w:jc w:val="both"/>
        <w:rPr>
          <w:rFonts w:eastAsia="Times New Roman" w:cs="Times New Roman"/>
          <w:b/>
          <w:bCs/>
          <w:color w:val="000000" w:themeColor="text1"/>
          <w:sz w:val="30"/>
          <w:szCs w:val="30"/>
          <w:lang w:val="ru-RU" w:eastAsia="ru-RU" w:bidi="ar-SA"/>
        </w:rPr>
      </w:pPr>
      <w:r w:rsidRPr="00EF46F8">
        <w:rPr>
          <w:rFonts w:eastAsia="Times New Roman" w:cs="Times New Roman"/>
          <w:b/>
          <w:bCs/>
          <w:color w:val="000000" w:themeColor="text1"/>
          <w:sz w:val="30"/>
          <w:szCs w:val="30"/>
          <w:lang w:val="ru-RU" w:eastAsia="ru-RU" w:bidi="ar-SA"/>
        </w:rPr>
        <w:t>Характеристика подготовки по специальности</w:t>
      </w:r>
    </w:p>
    <w:p w:rsidR="00D71AD2" w:rsidRPr="00EF46F8" w:rsidRDefault="00C647D8" w:rsidP="009812DB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EF46F8"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  <w:t>3.1. Получение среднего профессионального образования</w:t>
      </w:r>
      <w:r w:rsidR="00EF46F8" w:rsidRPr="00EF46F8"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 программе подготовки специалистов среднего звена</w:t>
      </w:r>
      <w:r w:rsidR="00D71AD2" w:rsidRPr="00EF46F8"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допускается только в образовательной организации.</w:t>
      </w:r>
    </w:p>
    <w:p w:rsidR="00D71AD2" w:rsidRPr="00EF46F8" w:rsidRDefault="00C647D8" w:rsidP="009812DB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EF46F8"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  <w:t>3.2. Сроки получения среднего профессионального образования</w:t>
      </w:r>
      <w:r w:rsidR="00D71AD2" w:rsidRPr="00EF46F8"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 специальности </w:t>
      </w:r>
      <w:hyperlink r:id="rId7" w:anchor="block_210205" w:history="1">
        <w:r w:rsidR="00D71AD2" w:rsidRPr="00EF46F8">
          <w:rPr>
            <w:rFonts w:eastAsia="Times New Roman" w:cs="Times New Roman"/>
            <w:color w:val="000000" w:themeColor="text1"/>
            <w:sz w:val="28"/>
            <w:szCs w:val="28"/>
            <w:lang w:val="ru-RU" w:eastAsia="ru-RU" w:bidi="ar-SA"/>
          </w:rPr>
          <w:t>21.02.05</w:t>
        </w:r>
      </w:hyperlink>
      <w:r w:rsidR="00D71AD2" w:rsidRPr="00EF46F8"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 Земельно-имущественные отношения базовой </w:t>
      </w:r>
      <w:r w:rsidR="00D71AD2" w:rsidRPr="00EF46F8"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подготовки в очной форме обучения и присваиваемая квалификация приводятся в </w:t>
      </w:r>
      <w:hyperlink r:id="rId8" w:anchor="block_10" w:history="1">
        <w:r w:rsidR="00D71AD2" w:rsidRPr="00EF46F8">
          <w:rPr>
            <w:rFonts w:eastAsia="Times New Roman" w:cs="Times New Roman"/>
            <w:color w:val="000000" w:themeColor="text1"/>
            <w:sz w:val="28"/>
            <w:szCs w:val="28"/>
            <w:lang w:val="ru-RU" w:eastAsia="ru-RU" w:bidi="ar-SA"/>
          </w:rPr>
          <w:t>Таблице 1</w:t>
        </w:r>
      </w:hyperlink>
      <w:r w:rsidR="00D71AD2" w:rsidRPr="00EF46F8"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D71AD2" w:rsidRPr="00D71AD2" w:rsidRDefault="00D71AD2" w:rsidP="009812DB">
      <w:pPr>
        <w:widowControl/>
        <w:shd w:val="clear" w:color="auto" w:fill="FFFFFF"/>
        <w:suppressAutoHyphens w:val="0"/>
        <w:ind w:firstLine="680"/>
        <w:jc w:val="both"/>
        <w:rPr>
          <w:rFonts w:eastAsia="Times New Roman" w:cs="Times New Roman"/>
          <w:color w:val="464C55"/>
          <w:lang w:val="ru-RU" w:eastAsia="ru-RU" w:bidi="ar-SA"/>
        </w:rPr>
      </w:pPr>
      <w:r w:rsidRPr="00D71AD2">
        <w:rPr>
          <w:rFonts w:eastAsia="Times New Roman" w:cs="Times New Roman"/>
          <w:b/>
          <w:bCs/>
          <w:color w:val="22272F"/>
          <w:lang w:val="ru-RU" w:eastAsia="ru-RU" w:bidi="ar-SA"/>
        </w:rPr>
        <w:t>Таблица 1</w:t>
      </w:r>
    </w:p>
    <w:p w:rsidR="00D71AD2" w:rsidRPr="00D71AD2" w:rsidRDefault="00D71AD2" w:rsidP="009812D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2272F"/>
          <w:sz w:val="23"/>
          <w:szCs w:val="23"/>
          <w:lang w:val="ru-RU" w:eastAsia="ru-RU" w:bidi="ar-SA"/>
        </w:rPr>
      </w:pPr>
      <w:r w:rsidRPr="00D71AD2">
        <w:rPr>
          <w:rFonts w:eastAsia="Times New Roman" w:cs="Times New Roman"/>
          <w:color w:val="22272F"/>
          <w:sz w:val="23"/>
          <w:szCs w:val="23"/>
          <w:lang w:val="ru-RU" w:eastAsia="ru-RU" w:bidi="ar-SA"/>
        </w:rPr>
        <w:t> </w:t>
      </w:r>
    </w:p>
    <w:tbl>
      <w:tblPr>
        <w:tblW w:w="98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2607"/>
        <w:gridCol w:w="3918"/>
      </w:tblGrid>
      <w:tr w:rsidR="00D71AD2" w:rsidRPr="00526B44" w:rsidTr="00EF46F8">
        <w:trPr>
          <w:trHeight w:val="992"/>
        </w:trPr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1AD2" w:rsidRPr="00EF46F8" w:rsidRDefault="00D71AD2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EF46F8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6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1AD2" w:rsidRPr="00EF46F8" w:rsidRDefault="00D71AD2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EF46F8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Наименование квалификации базовой подготовки</w:t>
            </w:r>
          </w:p>
        </w:tc>
        <w:tc>
          <w:tcPr>
            <w:tcW w:w="3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1AD2" w:rsidRPr="00EF46F8" w:rsidRDefault="00D71AD2" w:rsidP="009812DB">
            <w:pPr>
              <w:widowControl/>
              <w:suppressAutoHyphens w:val="0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EF46F8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Срок получения СПО по ППССЗ базовой подготовки в очной форме обучения</w:t>
            </w:r>
            <w:hyperlink r:id="rId9" w:anchor="block_91" w:history="1">
              <w:r w:rsidRPr="00EF46F8">
                <w:rPr>
                  <w:rFonts w:eastAsia="Times New Roman" w:cs="Times New Roman"/>
                  <w:color w:val="000000" w:themeColor="text1"/>
                  <w:lang w:val="ru-RU" w:eastAsia="ru-RU" w:bidi="ar-SA"/>
                </w:rPr>
                <w:t>*</w:t>
              </w:r>
            </w:hyperlink>
          </w:p>
        </w:tc>
      </w:tr>
      <w:tr w:rsidR="00D71AD2" w:rsidRPr="00D71AD2" w:rsidTr="00EF46F8">
        <w:trPr>
          <w:trHeight w:val="445"/>
        </w:trPr>
        <w:tc>
          <w:tcPr>
            <w:tcW w:w="3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1AD2" w:rsidRPr="00EF46F8" w:rsidRDefault="00D71AD2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EF46F8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среднее общее образование</w:t>
            </w:r>
          </w:p>
        </w:tc>
        <w:tc>
          <w:tcPr>
            <w:tcW w:w="260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1AD2" w:rsidRPr="00EF46F8" w:rsidRDefault="00D71AD2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EF46F8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Специалист по земельно-имущественным отношениям</w:t>
            </w:r>
          </w:p>
        </w:tc>
        <w:tc>
          <w:tcPr>
            <w:tcW w:w="39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1AD2" w:rsidRPr="00EF46F8" w:rsidRDefault="00D71AD2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EF46F8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1 год 10 месяцев</w:t>
            </w:r>
          </w:p>
        </w:tc>
      </w:tr>
      <w:tr w:rsidR="00D71AD2" w:rsidRPr="00D71AD2" w:rsidTr="00EF46F8">
        <w:trPr>
          <w:trHeight w:val="838"/>
        </w:trPr>
        <w:tc>
          <w:tcPr>
            <w:tcW w:w="3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1AD2" w:rsidRPr="00EF46F8" w:rsidRDefault="00D71AD2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EF46F8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основное общее образование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1AD2" w:rsidRPr="00EF46F8" w:rsidRDefault="00D71AD2" w:rsidP="009812DB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39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1AD2" w:rsidRPr="00EF46F8" w:rsidRDefault="00D71AD2" w:rsidP="009812DB">
            <w:pPr>
              <w:widowControl/>
              <w:suppressAutoHyphens w:val="0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EF46F8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2 года 10 месяцев</w:t>
            </w:r>
            <w:hyperlink r:id="rId10" w:anchor="block_92" w:history="1">
              <w:r w:rsidRPr="00EF46F8">
                <w:rPr>
                  <w:rFonts w:eastAsia="Times New Roman" w:cs="Times New Roman"/>
                  <w:color w:val="000000" w:themeColor="text1"/>
                  <w:lang w:val="ru-RU" w:eastAsia="ru-RU" w:bidi="ar-SA"/>
                </w:rPr>
                <w:t>**</w:t>
              </w:r>
            </w:hyperlink>
          </w:p>
        </w:tc>
      </w:tr>
    </w:tbl>
    <w:p w:rsidR="00D71AD2" w:rsidRPr="00D71AD2" w:rsidRDefault="00D71AD2" w:rsidP="009812D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2272F"/>
          <w:sz w:val="23"/>
          <w:szCs w:val="23"/>
          <w:lang w:val="ru-RU" w:eastAsia="ru-RU" w:bidi="ar-SA"/>
        </w:rPr>
      </w:pPr>
      <w:r w:rsidRPr="00D71AD2">
        <w:rPr>
          <w:rFonts w:eastAsia="Times New Roman" w:cs="Times New Roman"/>
          <w:color w:val="22272F"/>
          <w:sz w:val="23"/>
          <w:szCs w:val="23"/>
          <w:lang w:val="ru-RU" w:eastAsia="ru-RU" w:bidi="ar-SA"/>
        </w:rPr>
        <w:t> </w:t>
      </w:r>
    </w:p>
    <w:p w:rsidR="00D71AD2" w:rsidRPr="00EF46F8" w:rsidRDefault="00EF46F8" w:rsidP="009812DB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000000" w:themeColor="text1"/>
          <w:lang w:val="ru-RU" w:eastAsia="ru-RU" w:bidi="ar-SA"/>
        </w:rPr>
      </w:pPr>
      <w:r>
        <w:rPr>
          <w:rFonts w:eastAsia="Times New Roman" w:cs="Times New Roman"/>
          <w:color w:val="000000" w:themeColor="text1"/>
          <w:lang w:val="ru-RU" w:eastAsia="ru-RU" w:bidi="ar-SA"/>
        </w:rPr>
        <w:t>3.3. Сроки получения среднего профессионального образования (СПО) по программе подготовки специалистов среднего звена</w:t>
      </w:r>
      <w:r w:rsidR="00D71AD2" w:rsidRPr="00EF46F8">
        <w:rPr>
          <w:rFonts w:eastAsia="Times New Roman" w:cs="Times New Roman"/>
          <w:color w:val="000000" w:themeColor="text1"/>
          <w:lang w:val="ru-RU" w:eastAsia="ru-RU" w:bidi="ar-SA"/>
        </w:rPr>
        <w:t xml:space="preserve"> углубленной подготовки превыш</w:t>
      </w:r>
      <w:r>
        <w:rPr>
          <w:rFonts w:eastAsia="Times New Roman" w:cs="Times New Roman"/>
          <w:color w:val="000000" w:themeColor="text1"/>
          <w:lang w:val="ru-RU" w:eastAsia="ru-RU" w:bidi="ar-SA"/>
        </w:rPr>
        <w:t>ают на один год срок получения среднего профессионального образования по программе подготовки специалистов среднего звена (ППССЗ)</w:t>
      </w:r>
      <w:r w:rsidR="00D71AD2" w:rsidRPr="00EF46F8">
        <w:rPr>
          <w:rFonts w:eastAsia="Times New Roman" w:cs="Times New Roman"/>
          <w:color w:val="000000" w:themeColor="text1"/>
          <w:lang w:val="ru-RU" w:eastAsia="ru-RU" w:bidi="ar-SA"/>
        </w:rPr>
        <w:t xml:space="preserve"> базовой подготовки.</w:t>
      </w:r>
    </w:p>
    <w:p w:rsidR="00D71AD2" w:rsidRPr="00EF46F8" w:rsidRDefault="00EF46F8" w:rsidP="009812DB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000000" w:themeColor="text1"/>
          <w:lang w:val="ru-RU" w:eastAsia="ru-RU" w:bidi="ar-SA"/>
        </w:rPr>
      </w:pPr>
      <w:r>
        <w:rPr>
          <w:rFonts w:eastAsia="Times New Roman" w:cs="Times New Roman"/>
          <w:color w:val="000000" w:themeColor="text1"/>
          <w:lang w:val="ru-RU" w:eastAsia="ru-RU" w:bidi="ar-SA"/>
        </w:rPr>
        <w:t>Сроки получения среднего профессионального образования</w:t>
      </w:r>
      <w:r w:rsidR="00D71AD2" w:rsidRPr="00EF46F8">
        <w:rPr>
          <w:rFonts w:eastAsia="Times New Roman" w:cs="Times New Roman"/>
          <w:color w:val="000000" w:themeColor="text1"/>
          <w:lang w:val="ru-RU" w:eastAsia="ru-RU" w:bidi="ar-SA"/>
        </w:rPr>
        <w:t xml:space="preserve"> по ППССЗ углубленной подготовки в очной форме обучения и присваиваемая квалификация приводятся в </w:t>
      </w:r>
      <w:hyperlink r:id="rId11" w:anchor="block_20" w:history="1">
        <w:r w:rsidR="00D71AD2" w:rsidRPr="00EF46F8">
          <w:rPr>
            <w:rFonts w:eastAsia="Times New Roman" w:cs="Times New Roman"/>
            <w:color w:val="000000" w:themeColor="text1"/>
            <w:lang w:val="ru-RU" w:eastAsia="ru-RU" w:bidi="ar-SA"/>
          </w:rPr>
          <w:t>Таблице 2</w:t>
        </w:r>
      </w:hyperlink>
      <w:r w:rsidR="00D71AD2" w:rsidRPr="00EF46F8">
        <w:rPr>
          <w:rFonts w:eastAsia="Times New Roman" w:cs="Times New Roman"/>
          <w:color w:val="000000" w:themeColor="text1"/>
          <w:lang w:val="ru-RU" w:eastAsia="ru-RU" w:bidi="ar-SA"/>
        </w:rPr>
        <w:t>.</w:t>
      </w:r>
    </w:p>
    <w:p w:rsidR="00D71AD2" w:rsidRPr="00EF46F8" w:rsidRDefault="00D71AD2" w:rsidP="009812DB">
      <w:pPr>
        <w:widowControl/>
        <w:shd w:val="clear" w:color="auto" w:fill="FFFFFF"/>
        <w:suppressAutoHyphens w:val="0"/>
        <w:ind w:firstLine="680"/>
        <w:jc w:val="both"/>
        <w:rPr>
          <w:rFonts w:eastAsia="Times New Roman" w:cs="Times New Roman"/>
          <w:color w:val="000000" w:themeColor="text1"/>
          <w:lang w:val="ru-RU" w:eastAsia="ru-RU" w:bidi="ar-SA"/>
        </w:rPr>
      </w:pPr>
      <w:r w:rsidRPr="00EF46F8">
        <w:rPr>
          <w:rFonts w:eastAsia="Times New Roman" w:cs="Times New Roman"/>
          <w:b/>
          <w:bCs/>
          <w:color w:val="000000" w:themeColor="text1"/>
          <w:lang w:val="ru-RU" w:eastAsia="ru-RU" w:bidi="ar-SA"/>
        </w:rPr>
        <w:t>Таблица 2</w:t>
      </w:r>
    </w:p>
    <w:p w:rsidR="00D71AD2" w:rsidRPr="00EF46F8" w:rsidRDefault="00D71AD2" w:rsidP="009812D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 w:themeColor="text1"/>
          <w:sz w:val="23"/>
          <w:szCs w:val="23"/>
          <w:lang w:val="ru-RU" w:eastAsia="ru-RU" w:bidi="ar-SA"/>
        </w:rPr>
      </w:pPr>
      <w:r w:rsidRPr="00EF46F8">
        <w:rPr>
          <w:rFonts w:eastAsia="Times New Roman" w:cs="Times New Roman"/>
          <w:color w:val="000000" w:themeColor="text1"/>
          <w:sz w:val="23"/>
          <w:szCs w:val="23"/>
          <w:lang w:val="ru-RU" w:eastAsia="ru-RU" w:bidi="ar-SA"/>
        </w:rPr>
        <w:t> </w:t>
      </w:r>
    </w:p>
    <w:tbl>
      <w:tblPr>
        <w:tblW w:w="101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2781"/>
        <w:gridCol w:w="3959"/>
      </w:tblGrid>
      <w:tr w:rsidR="00D71AD2" w:rsidRPr="00526B44" w:rsidTr="00D71AD2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1AD2" w:rsidRPr="00EF46F8" w:rsidRDefault="00D71AD2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EF46F8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1AD2" w:rsidRPr="00EF46F8" w:rsidRDefault="00D71AD2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EF46F8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Наименование квалификации углубленной подготовки</w:t>
            </w:r>
          </w:p>
        </w:tc>
        <w:tc>
          <w:tcPr>
            <w:tcW w:w="3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1AD2" w:rsidRPr="00EF46F8" w:rsidRDefault="00D71AD2" w:rsidP="009812DB">
            <w:pPr>
              <w:widowControl/>
              <w:suppressAutoHyphens w:val="0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EF46F8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Срок получения СПО по ППССЗ углубленной подготовки в очной форме обучения</w:t>
            </w:r>
            <w:hyperlink r:id="rId12" w:anchor="block_901" w:history="1">
              <w:r w:rsidRPr="00EF46F8">
                <w:rPr>
                  <w:rFonts w:eastAsia="Times New Roman" w:cs="Times New Roman"/>
                  <w:color w:val="000000" w:themeColor="text1"/>
                  <w:lang w:val="ru-RU" w:eastAsia="ru-RU" w:bidi="ar-SA"/>
                </w:rPr>
                <w:t>*</w:t>
              </w:r>
            </w:hyperlink>
          </w:p>
        </w:tc>
      </w:tr>
      <w:tr w:rsidR="00D71AD2" w:rsidRPr="00EF46F8" w:rsidTr="00D71AD2"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1AD2" w:rsidRPr="00EF46F8" w:rsidRDefault="00D71AD2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EF46F8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среднее общее образование</w:t>
            </w:r>
          </w:p>
        </w:tc>
        <w:tc>
          <w:tcPr>
            <w:tcW w:w="27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1AD2" w:rsidRPr="00EF46F8" w:rsidRDefault="00D71AD2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EF46F8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Специалист по земельно-имущественным отношениям</w:t>
            </w: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1AD2" w:rsidRPr="00EF46F8" w:rsidRDefault="00D71AD2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EF46F8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2 года 10 месяцев</w:t>
            </w:r>
          </w:p>
        </w:tc>
      </w:tr>
      <w:tr w:rsidR="00D71AD2" w:rsidRPr="00EF46F8" w:rsidTr="00D71AD2">
        <w:tc>
          <w:tcPr>
            <w:tcW w:w="3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1AD2" w:rsidRPr="00EF46F8" w:rsidRDefault="00D71AD2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EF46F8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основное общее образование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1AD2" w:rsidRPr="00EF46F8" w:rsidRDefault="00D71AD2" w:rsidP="009812DB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3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1AD2" w:rsidRPr="00EF46F8" w:rsidRDefault="00D71AD2" w:rsidP="009812DB">
            <w:pPr>
              <w:widowControl/>
              <w:suppressAutoHyphens w:val="0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EF46F8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3 года 10 месяцев</w:t>
            </w:r>
            <w:hyperlink r:id="rId13" w:anchor="block_902" w:history="1">
              <w:r w:rsidRPr="00EF46F8">
                <w:rPr>
                  <w:rFonts w:eastAsia="Times New Roman" w:cs="Times New Roman"/>
                  <w:color w:val="000000" w:themeColor="text1"/>
                  <w:lang w:val="ru-RU" w:eastAsia="ru-RU" w:bidi="ar-SA"/>
                </w:rPr>
                <w:t>**</w:t>
              </w:r>
            </w:hyperlink>
          </w:p>
        </w:tc>
      </w:tr>
    </w:tbl>
    <w:p w:rsidR="00D71AD2" w:rsidRDefault="00D71AD2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F46F8" w:rsidRPr="00EF46F8" w:rsidRDefault="00EF46F8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46F8">
        <w:rPr>
          <w:color w:val="000000" w:themeColor="text1"/>
          <w:sz w:val="28"/>
          <w:szCs w:val="28"/>
        </w:rPr>
        <w:t>ППССЗ предусматривает изучение следующих учебных циклов:</w:t>
      </w:r>
    </w:p>
    <w:p w:rsidR="00EF46F8" w:rsidRPr="00EF46F8" w:rsidRDefault="00EF46F8" w:rsidP="009812DB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F46F8">
        <w:rPr>
          <w:color w:val="000000" w:themeColor="text1"/>
          <w:sz w:val="28"/>
          <w:szCs w:val="28"/>
        </w:rPr>
        <w:t>общего гуманитарного и социально-экономического;</w:t>
      </w:r>
    </w:p>
    <w:p w:rsidR="00EF46F8" w:rsidRPr="00EF46F8" w:rsidRDefault="00EF46F8" w:rsidP="009812DB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F46F8">
        <w:rPr>
          <w:color w:val="000000" w:themeColor="text1"/>
          <w:sz w:val="28"/>
          <w:szCs w:val="28"/>
        </w:rPr>
        <w:t>математического и общего естественнонаучного;</w:t>
      </w:r>
    </w:p>
    <w:p w:rsidR="00EF46F8" w:rsidRPr="00EF46F8" w:rsidRDefault="00EF46F8" w:rsidP="009812DB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F46F8">
        <w:rPr>
          <w:color w:val="000000" w:themeColor="text1"/>
          <w:sz w:val="28"/>
          <w:szCs w:val="28"/>
        </w:rPr>
        <w:t>профессионального</w:t>
      </w:r>
    </w:p>
    <w:p w:rsidR="00EF46F8" w:rsidRPr="00EF46F8" w:rsidRDefault="00EF46F8" w:rsidP="009812DB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F46F8">
        <w:rPr>
          <w:color w:val="000000" w:themeColor="text1"/>
          <w:sz w:val="28"/>
          <w:szCs w:val="28"/>
        </w:rPr>
        <w:t>и разделов:</w:t>
      </w:r>
    </w:p>
    <w:p w:rsidR="00EF46F8" w:rsidRPr="00EF46F8" w:rsidRDefault="00EF46F8" w:rsidP="009812DB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F46F8">
        <w:rPr>
          <w:color w:val="000000" w:themeColor="text1"/>
          <w:sz w:val="28"/>
          <w:szCs w:val="28"/>
        </w:rPr>
        <w:t>учебная практика;</w:t>
      </w:r>
    </w:p>
    <w:p w:rsidR="00EF46F8" w:rsidRPr="00EF46F8" w:rsidRDefault="00EF46F8" w:rsidP="009812DB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F46F8">
        <w:rPr>
          <w:color w:val="000000" w:themeColor="text1"/>
          <w:sz w:val="28"/>
          <w:szCs w:val="28"/>
        </w:rPr>
        <w:t>производственная практика (по профилю специальности);</w:t>
      </w:r>
    </w:p>
    <w:p w:rsidR="00EF46F8" w:rsidRPr="00EF46F8" w:rsidRDefault="00EF46F8" w:rsidP="009812DB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F46F8">
        <w:rPr>
          <w:color w:val="000000" w:themeColor="text1"/>
          <w:sz w:val="28"/>
          <w:szCs w:val="28"/>
        </w:rPr>
        <w:t>производственная практика (преддипломная);</w:t>
      </w:r>
    </w:p>
    <w:p w:rsidR="00EF46F8" w:rsidRPr="00EF46F8" w:rsidRDefault="00EF46F8" w:rsidP="009812DB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F46F8">
        <w:rPr>
          <w:color w:val="000000" w:themeColor="text1"/>
          <w:sz w:val="28"/>
          <w:szCs w:val="28"/>
        </w:rPr>
        <w:t>промежуточная аттестация;</w:t>
      </w:r>
    </w:p>
    <w:p w:rsidR="00EF46F8" w:rsidRPr="00EF46F8" w:rsidRDefault="00EF46F8" w:rsidP="009812DB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F46F8">
        <w:rPr>
          <w:color w:val="000000" w:themeColor="text1"/>
          <w:sz w:val="28"/>
          <w:szCs w:val="28"/>
        </w:rPr>
        <w:t>государственная итоговая аттестация.</w:t>
      </w:r>
    </w:p>
    <w:p w:rsidR="00D71AD2" w:rsidRDefault="00D71AD2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71AD2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50EA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Структура </w:t>
      </w:r>
      <w:proofErr w:type="gramStart"/>
      <w:r w:rsidRPr="00650EAD">
        <w:rPr>
          <w:b/>
          <w:bCs/>
          <w:color w:val="000000" w:themeColor="text1"/>
          <w:sz w:val="28"/>
          <w:szCs w:val="28"/>
          <w:shd w:val="clear" w:color="auto" w:fill="FFFFFF"/>
        </w:rPr>
        <w:t>программы подготовки специалистов среднего звена базовой подготовки</w:t>
      </w:r>
      <w:proofErr w:type="gramEnd"/>
    </w:p>
    <w:p w:rsid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Список дисциплин: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Основы философии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История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Иностранный язык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Физическая культура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lastRenderedPageBreak/>
        <w:t>Математика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Информационные технологии в профессиональной деятельности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Экологические основы природопользования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Основы экономической теории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Экономика организации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Статистика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Основы менеджмента и маркетинга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Документационное обеспечение управления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Правовое обеспечение профессиональной деятельности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Бухгалтерский учет и налогообложение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Финансы, денежное обращение и кредит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Экономический анализ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Безопасность жизнедеятельности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МДК.01.01. Управление территориями и недвижимым имуществом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МДК.02.01. Кадастры и кадастровая оценка земель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МДК.03.01. Геодезия с основами картографии и картографического черчения</w:t>
      </w:r>
    </w:p>
    <w:p w:rsidR="00650EAD" w:rsidRPr="00CA531B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531B">
        <w:rPr>
          <w:color w:val="000000" w:themeColor="text1"/>
          <w:sz w:val="28"/>
          <w:szCs w:val="28"/>
          <w:shd w:val="clear" w:color="auto" w:fill="FFFFFF"/>
        </w:rPr>
        <w:t>МДК.04.01. Оценка недвижимого имущества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50EAD" w:rsidRPr="00650EAD" w:rsidRDefault="00650EAD" w:rsidP="009812DB">
      <w:pPr>
        <w:widowControl/>
        <w:shd w:val="clear" w:color="auto" w:fill="FFFFFF"/>
        <w:suppressAutoHyphens w:val="0"/>
        <w:spacing w:after="300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50EAD"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  <w:t>Срок получения СПО по ППССЗ базовой подготовки в очной форме обучения составляет 95 недель, в том числе:</w:t>
      </w:r>
    </w:p>
    <w:tbl>
      <w:tblPr>
        <w:tblW w:w="6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992"/>
      </w:tblGrid>
      <w:tr w:rsidR="00CA531B" w:rsidRPr="00650EAD" w:rsidTr="00650EAD">
        <w:trPr>
          <w:trHeight w:val="43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0EAD" w:rsidRPr="00650EAD" w:rsidRDefault="00650EAD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proofErr w:type="gramStart"/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Обучение по</w:t>
            </w:r>
            <w:proofErr w:type="gramEnd"/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 xml:space="preserve"> учебным циклам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0EAD" w:rsidRPr="00650EAD" w:rsidRDefault="00650EAD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 xml:space="preserve">59 </w:t>
            </w:r>
            <w:proofErr w:type="spellStart"/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нед</w:t>
            </w:r>
            <w:proofErr w:type="spellEnd"/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.</w:t>
            </w:r>
          </w:p>
        </w:tc>
      </w:tr>
      <w:tr w:rsidR="00CA531B" w:rsidRPr="00650EAD" w:rsidTr="00650EAD">
        <w:trPr>
          <w:trHeight w:val="415"/>
        </w:trPr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0EAD" w:rsidRPr="00650EAD" w:rsidRDefault="00650EAD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Учебная практика</w:t>
            </w:r>
          </w:p>
        </w:tc>
        <w:tc>
          <w:tcPr>
            <w:tcW w:w="992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650EAD" w:rsidRPr="00650EAD" w:rsidRDefault="00650EAD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 xml:space="preserve">10 </w:t>
            </w:r>
            <w:proofErr w:type="spellStart"/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нед</w:t>
            </w:r>
            <w:proofErr w:type="spellEnd"/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.</w:t>
            </w:r>
          </w:p>
        </w:tc>
      </w:tr>
      <w:tr w:rsidR="00CA531B" w:rsidRPr="00526B44" w:rsidTr="00650EAD">
        <w:trPr>
          <w:trHeight w:val="697"/>
        </w:trPr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0EAD" w:rsidRPr="00650EAD" w:rsidRDefault="00650EAD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Производственная практика (по профилю специальности)</w:t>
            </w:r>
          </w:p>
        </w:tc>
        <w:tc>
          <w:tcPr>
            <w:tcW w:w="992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0EAD" w:rsidRPr="00650EAD" w:rsidRDefault="00650EAD" w:rsidP="009812DB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</w:p>
        </w:tc>
      </w:tr>
      <w:tr w:rsidR="00CA531B" w:rsidRPr="00650EAD" w:rsidTr="00650EAD">
        <w:trPr>
          <w:trHeight w:val="415"/>
        </w:trPr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0EAD" w:rsidRPr="00650EAD" w:rsidRDefault="00650EAD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Производственная практика (преддипломная)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0EAD" w:rsidRPr="00650EAD" w:rsidRDefault="00650EAD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 xml:space="preserve">4 </w:t>
            </w:r>
            <w:proofErr w:type="spellStart"/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нед</w:t>
            </w:r>
            <w:proofErr w:type="spellEnd"/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.</w:t>
            </w:r>
          </w:p>
        </w:tc>
      </w:tr>
      <w:tr w:rsidR="00CA531B" w:rsidRPr="00650EAD" w:rsidTr="00650EAD">
        <w:trPr>
          <w:trHeight w:val="431"/>
        </w:trPr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0EAD" w:rsidRPr="00650EAD" w:rsidRDefault="00650EAD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Промежуточная аттестация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0EAD" w:rsidRPr="00650EAD" w:rsidRDefault="00650EAD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 xml:space="preserve">3 </w:t>
            </w:r>
            <w:proofErr w:type="spellStart"/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нед</w:t>
            </w:r>
            <w:proofErr w:type="spellEnd"/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.</w:t>
            </w:r>
          </w:p>
        </w:tc>
      </w:tr>
      <w:tr w:rsidR="00CA531B" w:rsidRPr="00650EAD" w:rsidTr="00650EAD">
        <w:trPr>
          <w:trHeight w:val="415"/>
        </w:trPr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0EAD" w:rsidRPr="00650EAD" w:rsidRDefault="00650EAD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Государственная итоговая аттестация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0EAD" w:rsidRPr="00650EAD" w:rsidRDefault="00650EAD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 xml:space="preserve">6 </w:t>
            </w:r>
            <w:proofErr w:type="spellStart"/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нед</w:t>
            </w:r>
            <w:proofErr w:type="spellEnd"/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.</w:t>
            </w:r>
          </w:p>
        </w:tc>
      </w:tr>
      <w:tr w:rsidR="00CA531B" w:rsidRPr="00650EAD" w:rsidTr="00650EAD">
        <w:trPr>
          <w:trHeight w:val="415"/>
        </w:trPr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0EAD" w:rsidRPr="00650EAD" w:rsidRDefault="00650EAD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Каникулы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0EAD" w:rsidRPr="00650EAD" w:rsidRDefault="00650EAD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 xml:space="preserve">13 </w:t>
            </w:r>
            <w:proofErr w:type="spellStart"/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нед</w:t>
            </w:r>
            <w:proofErr w:type="spellEnd"/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.</w:t>
            </w:r>
          </w:p>
        </w:tc>
      </w:tr>
      <w:tr w:rsidR="00CA531B" w:rsidRPr="00650EAD" w:rsidTr="00650EAD">
        <w:trPr>
          <w:trHeight w:val="448"/>
        </w:trPr>
        <w:tc>
          <w:tcPr>
            <w:tcW w:w="5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0EAD" w:rsidRPr="00650EAD" w:rsidRDefault="00650EAD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Итого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0EAD" w:rsidRPr="00650EAD" w:rsidRDefault="00650EAD" w:rsidP="009812DB">
            <w:pPr>
              <w:widowControl/>
              <w:suppressAutoHyphens w:val="0"/>
              <w:spacing w:before="75" w:after="75"/>
              <w:ind w:left="75" w:right="75"/>
              <w:jc w:val="both"/>
              <w:rPr>
                <w:rFonts w:eastAsia="Times New Roman" w:cs="Times New Roman"/>
                <w:color w:val="000000" w:themeColor="text1"/>
                <w:lang w:val="ru-RU" w:eastAsia="ru-RU" w:bidi="ar-SA"/>
              </w:rPr>
            </w:pPr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 xml:space="preserve">95 </w:t>
            </w:r>
            <w:proofErr w:type="spellStart"/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нед</w:t>
            </w:r>
            <w:proofErr w:type="spellEnd"/>
            <w:r w:rsidRPr="00650EAD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.</w:t>
            </w:r>
          </w:p>
        </w:tc>
      </w:tr>
    </w:tbl>
    <w:p w:rsidR="00D71AD2" w:rsidRDefault="00D71AD2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441C9" w:rsidRPr="00D71AD2" w:rsidRDefault="001441C9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1AD2">
        <w:rPr>
          <w:b/>
          <w:color w:val="000000" w:themeColor="text1"/>
          <w:sz w:val="28"/>
          <w:szCs w:val="28"/>
        </w:rPr>
        <w:t>Максимальный объем учебной нагрузки обучающегося</w:t>
      </w:r>
      <w:r w:rsidRPr="00D71AD2">
        <w:rPr>
          <w:color w:val="000000" w:themeColor="text1"/>
          <w:sz w:val="28"/>
          <w:szCs w:val="28"/>
        </w:rPr>
        <w:t xml:space="preserve"> составляет 54 </w:t>
      </w:r>
      <w:proofErr w:type="gramStart"/>
      <w:r w:rsidRPr="00D71AD2">
        <w:rPr>
          <w:color w:val="000000" w:themeColor="text1"/>
          <w:sz w:val="28"/>
          <w:szCs w:val="28"/>
        </w:rPr>
        <w:t>академических</w:t>
      </w:r>
      <w:proofErr w:type="gramEnd"/>
      <w:r w:rsidRPr="00D71AD2">
        <w:rPr>
          <w:color w:val="000000" w:themeColor="text1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1441C9" w:rsidRPr="00D71AD2" w:rsidRDefault="001441C9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1AD2">
        <w:rPr>
          <w:b/>
          <w:color w:val="000000" w:themeColor="text1"/>
          <w:sz w:val="28"/>
          <w:szCs w:val="28"/>
        </w:rPr>
        <w:t>Максимальный объем аудиторной учебной нагрузки в очной форме обучения</w:t>
      </w:r>
      <w:r w:rsidRPr="00D71AD2">
        <w:rPr>
          <w:color w:val="000000" w:themeColor="text1"/>
          <w:sz w:val="28"/>
          <w:szCs w:val="28"/>
        </w:rPr>
        <w:t xml:space="preserve"> составляет 36 академических часов в неделю.</w:t>
      </w:r>
    </w:p>
    <w:p w:rsidR="001441C9" w:rsidRPr="00D71AD2" w:rsidRDefault="001441C9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1AD2">
        <w:rPr>
          <w:b/>
          <w:color w:val="000000" w:themeColor="text1"/>
          <w:sz w:val="28"/>
          <w:szCs w:val="28"/>
        </w:rPr>
        <w:t>Максимальный объем аудиторной учебной нагрузки в очно-заочной форме обучения</w:t>
      </w:r>
      <w:r w:rsidRPr="00D71AD2">
        <w:rPr>
          <w:color w:val="000000" w:themeColor="text1"/>
          <w:sz w:val="28"/>
          <w:szCs w:val="28"/>
        </w:rPr>
        <w:t xml:space="preserve"> составляет 16 академических часов в неделю.</w:t>
      </w:r>
    </w:p>
    <w:p w:rsidR="001441C9" w:rsidRPr="00D71AD2" w:rsidRDefault="001441C9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1AD2">
        <w:rPr>
          <w:b/>
          <w:color w:val="000000" w:themeColor="text1"/>
          <w:sz w:val="28"/>
          <w:szCs w:val="28"/>
        </w:rPr>
        <w:t>Максимальный объем аудиторной учебной нагрузки в год в заочной форме обучения</w:t>
      </w:r>
      <w:r w:rsidRPr="00D71AD2">
        <w:rPr>
          <w:color w:val="000000" w:themeColor="text1"/>
          <w:sz w:val="28"/>
          <w:szCs w:val="28"/>
        </w:rPr>
        <w:t xml:space="preserve"> составляет 160 академических часов.</w:t>
      </w:r>
    </w:p>
    <w:p w:rsidR="001441C9" w:rsidRPr="00D71AD2" w:rsidRDefault="001441C9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1AD2">
        <w:rPr>
          <w:b/>
          <w:color w:val="000000" w:themeColor="text1"/>
          <w:sz w:val="28"/>
          <w:szCs w:val="28"/>
        </w:rPr>
        <w:t>Общая продолжительность каникул в учебном году</w:t>
      </w:r>
      <w:r w:rsidRPr="00D71AD2">
        <w:rPr>
          <w:color w:val="000000" w:themeColor="text1"/>
          <w:sz w:val="28"/>
          <w:szCs w:val="28"/>
        </w:rPr>
        <w:t xml:space="preserve"> должна составлять 8-11 недель, в том числе не менее 2-х недель в зимний период.</w:t>
      </w:r>
    </w:p>
    <w:p w:rsidR="001441C9" w:rsidRPr="00D71AD2" w:rsidRDefault="00D71AD2" w:rsidP="009812DB">
      <w:pPr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D71AD2">
        <w:rPr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Практика является обязательным разделом программы подготовки специалистов среднего звена.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650EAD" w:rsidRPr="00650EAD" w:rsidRDefault="00650EAD" w:rsidP="009812D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650EAD">
        <w:rPr>
          <w:b/>
          <w:bCs/>
          <w:color w:val="000000" w:themeColor="text1"/>
          <w:sz w:val="28"/>
          <w:szCs w:val="28"/>
        </w:rPr>
        <w:t xml:space="preserve">Требования к результатам </w:t>
      </w:r>
      <w:proofErr w:type="gramStart"/>
      <w:r w:rsidRPr="00650EAD">
        <w:rPr>
          <w:b/>
          <w:bCs/>
          <w:color w:val="000000" w:themeColor="text1"/>
          <w:sz w:val="28"/>
          <w:szCs w:val="28"/>
        </w:rPr>
        <w:t>освоения программы подготовки специалистов среднего звена</w:t>
      </w:r>
      <w:proofErr w:type="gramEnd"/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5.1. Специалист по земельно-имущественным отношениям базовой подготовки должен обладать общими компетенциями, включающими в себя способность: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4. Решать проблемы, оценивать риски и принимать решения в нестандартных ситуациях.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8. Быть готовым к смене технологий в профессиональной деятельности.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9. Уважительно и бережно относиться к историческому наследию и культурным традициям, толерантно воспринимать социальные и культурные традиции.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10. Соблюдать правила техники безопасности, нести ответственность за организацию мероприятий по обеспечению безопасности труда.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5.2. Специалист по земельно-имущественным отношениям базовой подготовки должен обладать профессиональными компетенциями, соответствующими видам деятельности: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5.2.1. Управление земельно-имущественным комплексом.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1.1. Составлять земельный баланс района.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lastRenderedPageBreak/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1.4. Участвовать в проектировании и анализе социально-экономического развития территории.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1.5. Осуществлять мониторинг земель территории.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5.2.2. Осуществление кадастровых отношений.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2.1. Выполнять комплекс кадастровых процедур.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2.2. Определять кадастровую стоимость земель.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2.3. Выполнять кадастровую съемку.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2.4. Осуществлять кадастровый и технический учет объектов недвижимости.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2.5. Формировать кадастровое дело.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5.2.3. Картографо-геодезическое сопровождение земельно-имущественных отношений.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3.1. Выполнять работы по картографо-геодезическому обеспечению территорий, создавать графические материалы.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3.2. Использовать государственные геодезические сети и иные сети для производства картографо-геодезических работ.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3.3. Использовать в практической деятельности геоинформационные системы.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3.4. Определять координаты границ земельных участков и вычислять их площади.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3.5. Выполнять поверку и юстировку геодезических приборов и инструментов.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5.2.4. Определение стоимости недвижимого имущества.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4.1. Осуществлять сбор и обработку необходимой и достаточной информации об объекте оценки и аналогичных объектах.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4.2. Производить расчеты по оценке объекта оценки на основе применимых подходов и методов оценки.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4.5. Классифицировать здания и сооружения в соответствии с принятой типологией.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4.6. Оформлять оценочную документацию в соответствии с требованиями нормативных актов, регулирующих правоотношения в этой области.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5.3. Специалист по земельно-имущественным отношениям углубленной подготовки должен обладать общими компетенциями, включающими в себя способность: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lastRenderedPageBreak/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4. Решать проблемы, оценивать риски и принимать решения в нестандартных ситуациях.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8.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9. Быть готовым к смене технологий в профессиональной деятельности.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10. Осознавать и принимать ответственность за экологические последствия профессиональной деятельности, соблюдать регламенты по экологической безопасности и принципы рационального природопользования, выбирать способы повышения экологической безопасности профессиональной деятельности организации.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11. Использовать принципы социального партнерства в регулировании социально-трудовых отношений в подразделении, организации.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12. Использовать результаты научных исследований в профессиональной деятельности, участвовать в проведении и организации научных исследований под руководством, проводить и организовывать локальные научные исследования в области профессиональной деятельности.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0EAD">
        <w:rPr>
          <w:color w:val="000000" w:themeColor="text1"/>
          <w:sz w:val="28"/>
          <w:szCs w:val="28"/>
        </w:rPr>
        <w:t>ОК</w:t>
      </w:r>
      <w:proofErr w:type="gramEnd"/>
      <w:r w:rsidRPr="00650EAD">
        <w:rPr>
          <w:color w:val="000000" w:themeColor="text1"/>
          <w:sz w:val="28"/>
          <w:szCs w:val="28"/>
        </w:rPr>
        <w:t xml:space="preserve"> 13. Соблюдать правила техники безопасности, нести ответственность за организацию мероприятий по обеспечению безопасности труда.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5.4. Специалист по земельно-имущественным отношениям углубленной подготовки должен обладать профессиональными компетенциями, соответствующими видам деятельности.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5.4.1. Управление земельно-имущественным комплексом.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1.1. Составлять земельный баланс района.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lastRenderedPageBreak/>
        <w:t>ПК 1.4. Участвовать в проектировании и анализе социально-экономического развития территории.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1.5. Осуществлять мониторинг земель территории.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1.6. Анализировать варианты применения моделей территориального управления.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1.7. Определять инвестиционную привлекательность проектов застройки территорий.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5.4.2. Осуществление кадастровых отношений.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2.1. Выполнять комплекс кадастровых процедур.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2.2. Определять кадастровую стоимость земель.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2.3. Выполнять кадастровую съемку.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2.4. Осуществлять кадастровый и технический учет объектов недвижимости.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2.5. Формировать кадастровое дело.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5.4.3. Картографо-геодезическое сопровождение земельно-имущественных отношений.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3.1. Выполнять работы по картографо-геодезическому обеспечению территорий, создавать графические материалы.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3.2. Использовать государственные геодезические сети и иные сети для производства картографо-геодезических работ.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3.3. Использовать в практической деятельности геоинформационные системы.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3.4. Определять координаты границ земельных участков и вычислять их площади.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3.5. Выполнять поверку и юстировку геодезических приборов и инструментов.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3.6. Выполнять полевые и камеральные геодезические работы по развитию и реконструкции сетей специального назначения (опорных межевых сетей).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5.4.4. Определение стоимости недвижимого имущества.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4.1. Осуществлять сбор и обработку необходимой и достаточной информации об объекте оценки и аналогичных объектах.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4.2. Производить расчеты по оценке объекта оценки на основе применимых подходов и методов оценки.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4.5. Классифицировать здания и сооружения в соответствии с принятой типологией.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4.6. Оформлять оценочную документацию в соответствии с требованиями нормативных актов, регулирующих правоотношения в этой области.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5.4.5. Организация и управление предпринимательской деятельностью в сфере земельно-имущественных отношений.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lastRenderedPageBreak/>
        <w:t>ПК 5.1. Организовывать свою деятельность как индивидуального предпринимателя (кадастрового инженера) или коллектива организации в соответствии с вышеприведенными видами деятельности.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5.2. Планировать за предпринимательскую деятельность и отчитываться за нее.</w:t>
      </w:r>
    </w:p>
    <w:p w:rsidR="00650EAD" w:rsidRPr="00650EAD" w:rsidRDefault="00650EAD" w:rsidP="0098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0EAD">
        <w:rPr>
          <w:color w:val="000000" w:themeColor="text1"/>
          <w:sz w:val="28"/>
          <w:szCs w:val="28"/>
        </w:rPr>
        <w:t>ПК 5.3. Устанавливать партнерские связи, заключать хозяйственные договора. ПК 5.4. Обеспечивать получение прибыли от хозяйственной деятельности.</w:t>
      </w:r>
    </w:p>
    <w:p w:rsidR="00D71AD2" w:rsidRPr="00D71AD2" w:rsidRDefault="00D71AD2" w:rsidP="009812DB">
      <w:pPr>
        <w:ind w:firstLine="709"/>
        <w:jc w:val="both"/>
        <w:rPr>
          <w:rFonts w:cs="Times New Roman"/>
          <w:sz w:val="28"/>
          <w:szCs w:val="28"/>
          <w:lang w:val="ru-RU"/>
        </w:rPr>
      </w:pPr>
    </w:p>
    <w:sectPr w:rsidR="00D71AD2" w:rsidRPr="00D7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9EA"/>
    <w:multiLevelType w:val="hybridMultilevel"/>
    <w:tmpl w:val="6EC64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B65EE0"/>
    <w:multiLevelType w:val="multilevel"/>
    <w:tmpl w:val="F3FC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E2FBA"/>
    <w:multiLevelType w:val="hybridMultilevel"/>
    <w:tmpl w:val="2BE4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8728E"/>
    <w:multiLevelType w:val="multilevel"/>
    <w:tmpl w:val="080E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43"/>
    <w:rsid w:val="001441C9"/>
    <w:rsid w:val="001818E3"/>
    <w:rsid w:val="00367DD1"/>
    <w:rsid w:val="00526B44"/>
    <w:rsid w:val="005D2643"/>
    <w:rsid w:val="00650EAD"/>
    <w:rsid w:val="00882877"/>
    <w:rsid w:val="009812DB"/>
    <w:rsid w:val="009A05E5"/>
    <w:rsid w:val="00C647D8"/>
    <w:rsid w:val="00CA531B"/>
    <w:rsid w:val="00D71AD2"/>
    <w:rsid w:val="00ED1324"/>
    <w:rsid w:val="00E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D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367DD1"/>
    <w:rPr>
      <w:rFonts w:ascii="Sylfaen" w:hAnsi="Sylfaen" w:cs="Sylfaen"/>
      <w:sz w:val="30"/>
      <w:szCs w:val="30"/>
    </w:rPr>
  </w:style>
  <w:style w:type="paragraph" w:customStyle="1" w:styleId="s1">
    <w:name w:val="s_1"/>
    <w:basedOn w:val="a"/>
    <w:rsid w:val="001441C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s3">
    <w:name w:val="s_3"/>
    <w:basedOn w:val="a"/>
    <w:rsid w:val="00650EA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3">
    <w:name w:val="Normal (Web)"/>
    <w:basedOn w:val="a"/>
    <w:uiPriority w:val="99"/>
    <w:semiHidden/>
    <w:unhideWhenUsed/>
    <w:rsid w:val="00650EA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D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367DD1"/>
    <w:rPr>
      <w:rFonts w:ascii="Sylfaen" w:hAnsi="Sylfaen" w:cs="Sylfaen"/>
      <w:sz w:val="30"/>
      <w:szCs w:val="30"/>
    </w:rPr>
  </w:style>
  <w:style w:type="paragraph" w:customStyle="1" w:styleId="s1">
    <w:name w:val="s_1"/>
    <w:basedOn w:val="a"/>
    <w:rsid w:val="001441C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s3">
    <w:name w:val="s_3"/>
    <w:basedOn w:val="a"/>
    <w:rsid w:val="00650EA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3">
    <w:name w:val="Normal (Web)"/>
    <w:basedOn w:val="a"/>
    <w:uiPriority w:val="99"/>
    <w:semiHidden/>
    <w:unhideWhenUsed/>
    <w:rsid w:val="00650EA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572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3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87334/53f89421bbdaf741eb2d1ecc4ddb4c33/" TargetMode="External"/><Relationship Id="rId13" Type="http://schemas.openxmlformats.org/officeDocument/2006/relationships/hyperlink" Target="https://base.garant.ru/70687334/53f89421bbdaf741eb2d1ecc4ddb4c3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0558310/f7ee959fd36b5699076b35abf4f52c5c/" TargetMode="External"/><Relationship Id="rId12" Type="http://schemas.openxmlformats.org/officeDocument/2006/relationships/hyperlink" Target="https://base.garant.ru/70687334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11" Type="http://schemas.openxmlformats.org/officeDocument/2006/relationships/hyperlink" Target="https://base.garant.ru/70687334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687334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687334/53f89421bbdaf741eb2d1ecc4ddb4c3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2020-09-30T09:44:00Z</dcterms:created>
  <dcterms:modified xsi:type="dcterms:W3CDTF">2020-09-30T11:34:00Z</dcterms:modified>
</cp:coreProperties>
</file>