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FF" w:rsidRDefault="00587A49" w:rsidP="00B24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8B">
        <w:rPr>
          <w:rFonts w:ascii="Times New Roman" w:hAnsi="Times New Roman" w:cs="Times New Roman"/>
          <w:b/>
          <w:sz w:val="28"/>
          <w:szCs w:val="28"/>
        </w:rPr>
        <w:t>ПЗ№2. Временная оценка недвижимости.</w:t>
      </w:r>
    </w:p>
    <w:p w:rsidR="00284C69" w:rsidRPr="00336879" w:rsidRDefault="00336879" w:rsidP="003368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879">
        <w:rPr>
          <w:rFonts w:ascii="Times New Roman" w:hAnsi="Times New Roman" w:cs="Times New Roman"/>
          <w:b/>
          <w:sz w:val="28"/>
          <w:szCs w:val="28"/>
          <w:u w:val="single"/>
        </w:rPr>
        <w:t>Задание№1.</w:t>
      </w:r>
    </w:p>
    <w:p w:rsidR="00336879" w:rsidRDefault="00336879" w:rsidP="003368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Плюс/Минус. Прочитайте утверждения и </w:t>
      </w:r>
      <w:r w:rsidR="000D5E0A">
        <w:rPr>
          <w:rFonts w:ascii="Times New Roman" w:hAnsi="Times New Roman" w:cs="Times New Roman"/>
          <w:sz w:val="28"/>
          <w:szCs w:val="28"/>
        </w:rPr>
        <w:t>поставьте,</w:t>
      </w:r>
      <w:r>
        <w:rPr>
          <w:rFonts w:ascii="Times New Roman" w:hAnsi="Times New Roman" w:cs="Times New Roman"/>
          <w:sz w:val="28"/>
          <w:szCs w:val="28"/>
        </w:rPr>
        <w:t xml:space="preserve"> + если вы согласны с утверждением и – если не согласны.</w:t>
      </w:r>
    </w:p>
    <w:p w:rsidR="00336879" w:rsidRDefault="00336879" w:rsidP="0033687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879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336879" w:rsidRDefault="00336879" w:rsidP="003368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879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эффективное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Pr="00336879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максимизирует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продуктивность (соответствует ее наибольшей стоимости) и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физически возможно, юридически разрешено (на дату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стоимости объекта оценки) и финансово оправдано.</w:t>
      </w:r>
    </w:p>
    <w:p w:rsidR="00336879" w:rsidRPr="00336879" w:rsidRDefault="00336879" w:rsidP="0033687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879">
        <w:rPr>
          <w:rFonts w:ascii="Times New Roman" w:hAnsi="Times New Roman" w:cs="Times New Roman"/>
          <w:sz w:val="28"/>
          <w:szCs w:val="28"/>
        </w:rPr>
        <w:t>Метод сравнения продаж</w:t>
      </w:r>
      <w:r w:rsidRPr="00336879">
        <w:rPr>
          <w:rFonts w:ascii="Times New Roman" w:hAnsi="Times New Roman" w:cs="Times New Roman"/>
          <w:sz w:val="28"/>
          <w:szCs w:val="28"/>
        </w:rPr>
        <w:t xml:space="preserve"> и </w:t>
      </w:r>
      <w:r w:rsidRPr="00336879">
        <w:rPr>
          <w:rFonts w:ascii="Times New Roman" w:hAnsi="Times New Roman" w:cs="Times New Roman"/>
          <w:sz w:val="28"/>
          <w:szCs w:val="28"/>
        </w:rPr>
        <w:t xml:space="preserve"> Метод капитализации земельной ренты</w:t>
      </w:r>
      <w:r w:rsidRPr="00336879"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методическими рекомендациями по определению рыночной стоимости земельных участков, утвержденных распоряжением </w:t>
      </w:r>
      <w:proofErr w:type="spellStart"/>
      <w:r w:rsidRPr="0033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Минимущества</w:t>
      </w:r>
      <w:proofErr w:type="spellEnd"/>
      <w:r w:rsidRPr="0033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2002 г. № 568-р, не используется для определения рыночной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застроенного земельного участка.</w:t>
      </w:r>
    </w:p>
    <w:p w:rsidR="00336879" w:rsidRDefault="00336879" w:rsidP="007321A4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879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прошедших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это с</w:t>
      </w:r>
      <w:r w:rsidRPr="00336879">
        <w:rPr>
          <w:rFonts w:ascii="Times New Roman" w:hAnsi="Times New Roman" w:cs="Times New Roman"/>
          <w:sz w:val="28"/>
          <w:szCs w:val="28"/>
        </w:rPr>
        <w:t>рок службы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79" w:rsidRDefault="00336879" w:rsidP="007321A4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879">
        <w:rPr>
          <w:rFonts w:ascii="Times New Roman" w:hAnsi="Times New Roman" w:cs="Times New Roman"/>
          <w:sz w:val="28"/>
          <w:szCs w:val="28"/>
        </w:rPr>
        <w:t>Правила и ограничения оборота земельных участков из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79">
        <w:rPr>
          <w:rFonts w:ascii="Times New Roman" w:hAnsi="Times New Roman" w:cs="Times New Roman"/>
          <w:sz w:val="28"/>
          <w:szCs w:val="28"/>
        </w:rPr>
        <w:t>сельскохозяйственного назначения устанавливаются: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1A4">
        <w:rPr>
          <w:rFonts w:ascii="Times New Roman" w:hAnsi="Times New Roman" w:cs="Times New Roman"/>
          <w:sz w:val="28"/>
          <w:szCs w:val="28"/>
        </w:rPr>
        <w:t xml:space="preserve"> </w:t>
      </w:r>
      <w:r w:rsidRPr="007321A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7321A4">
        <w:rPr>
          <w:rFonts w:ascii="Times New Roman" w:hAnsi="Times New Roman" w:cs="Times New Roman"/>
          <w:sz w:val="28"/>
          <w:szCs w:val="28"/>
        </w:rPr>
        <w:t xml:space="preserve">, </w:t>
      </w:r>
      <w:r w:rsidRPr="007321A4">
        <w:rPr>
          <w:rFonts w:ascii="Times New Roman" w:hAnsi="Times New Roman" w:cs="Times New Roman"/>
          <w:sz w:val="28"/>
          <w:szCs w:val="28"/>
        </w:rPr>
        <w:t>Нормативными правовыми</w:t>
      </w:r>
      <w:r w:rsidR="007321A4" w:rsidRPr="007321A4">
        <w:rPr>
          <w:rFonts w:ascii="Times New Roman" w:hAnsi="Times New Roman" w:cs="Times New Roman"/>
          <w:sz w:val="28"/>
          <w:szCs w:val="28"/>
        </w:rPr>
        <w:t xml:space="preserve"> актами Правительства РФ</w:t>
      </w:r>
      <w:r w:rsidR="007321A4">
        <w:rPr>
          <w:rFonts w:ascii="Times New Roman" w:hAnsi="Times New Roman" w:cs="Times New Roman"/>
          <w:sz w:val="28"/>
          <w:szCs w:val="28"/>
        </w:rPr>
        <w:t xml:space="preserve">, </w:t>
      </w:r>
      <w:r w:rsidRPr="007321A4">
        <w:rPr>
          <w:rFonts w:ascii="Times New Roman" w:hAnsi="Times New Roman" w:cs="Times New Roman"/>
          <w:sz w:val="28"/>
          <w:szCs w:val="28"/>
        </w:rPr>
        <w:t>Нормативными</w:t>
      </w:r>
      <w:r w:rsidR="007321A4" w:rsidRPr="007321A4">
        <w:rPr>
          <w:rFonts w:ascii="Times New Roman" w:hAnsi="Times New Roman" w:cs="Times New Roman"/>
          <w:sz w:val="28"/>
          <w:szCs w:val="28"/>
        </w:rPr>
        <w:t xml:space="preserve"> </w:t>
      </w:r>
      <w:r w:rsidRPr="007321A4">
        <w:rPr>
          <w:rFonts w:ascii="Times New Roman" w:hAnsi="Times New Roman" w:cs="Times New Roman"/>
          <w:sz w:val="28"/>
          <w:szCs w:val="28"/>
        </w:rPr>
        <w:t>правовыми</w:t>
      </w:r>
      <w:r w:rsidR="007321A4" w:rsidRPr="007321A4">
        <w:rPr>
          <w:rFonts w:ascii="Times New Roman" w:hAnsi="Times New Roman" w:cs="Times New Roman"/>
          <w:sz w:val="28"/>
          <w:szCs w:val="28"/>
        </w:rPr>
        <w:t xml:space="preserve"> </w:t>
      </w:r>
      <w:r w:rsidRPr="007321A4">
        <w:rPr>
          <w:rFonts w:ascii="Times New Roman" w:hAnsi="Times New Roman" w:cs="Times New Roman"/>
          <w:sz w:val="28"/>
          <w:szCs w:val="28"/>
        </w:rPr>
        <w:t>актами</w:t>
      </w:r>
      <w:r w:rsidR="007321A4" w:rsidRPr="007321A4">
        <w:rPr>
          <w:rFonts w:ascii="Times New Roman" w:hAnsi="Times New Roman" w:cs="Times New Roman"/>
          <w:sz w:val="28"/>
          <w:szCs w:val="28"/>
        </w:rPr>
        <w:t xml:space="preserve"> </w:t>
      </w:r>
      <w:r w:rsidRPr="007321A4">
        <w:rPr>
          <w:rFonts w:ascii="Times New Roman" w:hAnsi="Times New Roman" w:cs="Times New Roman"/>
          <w:sz w:val="28"/>
          <w:szCs w:val="28"/>
        </w:rPr>
        <w:t>субъектов</w:t>
      </w:r>
      <w:r w:rsidR="007321A4" w:rsidRPr="007321A4">
        <w:rPr>
          <w:rFonts w:ascii="Times New Roman" w:hAnsi="Times New Roman" w:cs="Times New Roman"/>
          <w:sz w:val="28"/>
          <w:szCs w:val="28"/>
        </w:rPr>
        <w:t xml:space="preserve"> Р</w:t>
      </w:r>
      <w:r w:rsidR="00ED5DF4">
        <w:rPr>
          <w:rFonts w:ascii="Times New Roman" w:hAnsi="Times New Roman" w:cs="Times New Roman"/>
          <w:sz w:val="28"/>
          <w:szCs w:val="28"/>
        </w:rPr>
        <w:t xml:space="preserve">Ф </w:t>
      </w:r>
    </w:p>
    <w:p w:rsidR="007321A4" w:rsidRDefault="007321A4" w:rsidP="007321A4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установления ипотеки</w:t>
      </w:r>
      <w:r w:rsidRPr="0073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73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принадлежать залогодателю</w:t>
      </w:r>
      <w:r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</w:t>
      </w:r>
    </w:p>
    <w:p w:rsidR="007321A4" w:rsidRDefault="007321A4" w:rsidP="007321A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21A4">
        <w:rPr>
          <w:rFonts w:ascii="Times New Roman" w:hAnsi="Times New Roman" w:cs="Times New Roman"/>
          <w:b/>
          <w:sz w:val="28"/>
          <w:szCs w:val="28"/>
          <w:u w:val="single"/>
        </w:rPr>
        <w:t>Задание№2.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21A4" w:rsidTr="007321A4">
        <w:tc>
          <w:tcPr>
            <w:tcW w:w="4785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0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0471" w:rsidRPr="00000471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Доходный подход</w:t>
            </w:r>
          </w:p>
        </w:tc>
        <w:tc>
          <w:tcPr>
            <w:tcW w:w="4786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000471"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 из трех традиционных подходов к оценке недвижимости, базирующийся на определении стоимости издержек на воспроизводство или замещение объекта с учетом всех видов износа.</w:t>
            </w:r>
          </w:p>
        </w:tc>
      </w:tr>
      <w:tr w:rsidR="007321A4" w:rsidTr="007321A4">
        <w:tc>
          <w:tcPr>
            <w:tcW w:w="4785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00471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Аннуитет</w:t>
            </w:r>
            <w:r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786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471"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471"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 из трех традиционных подходов к оценке недвижимости, включающий метод дисконтированных денежных потоков, основанный на определении текущей стоимости ожидаемых будущих доходов от объекта недвижимости, и метод прямой капитализации годового дохода.</w:t>
            </w:r>
          </w:p>
        </w:tc>
      </w:tr>
      <w:tr w:rsidR="007321A4" w:rsidTr="007321A4">
        <w:tc>
          <w:tcPr>
            <w:tcW w:w="4785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00471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Недвижимость</w:t>
            </w:r>
          </w:p>
        </w:tc>
        <w:tc>
          <w:tcPr>
            <w:tcW w:w="4786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00471"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471"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имущество, перемещаемое без ущерба ему самому или объектам недвижимости, с которыми оно связано.</w:t>
            </w:r>
          </w:p>
        </w:tc>
      </w:tr>
      <w:tr w:rsidR="007321A4" w:rsidTr="007321A4">
        <w:tc>
          <w:tcPr>
            <w:tcW w:w="4785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00471"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471" w:rsidRPr="00000471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Затратный подход</w:t>
            </w:r>
          </w:p>
        </w:tc>
        <w:tc>
          <w:tcPr>
            <w:tcW w:w="4786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471"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471"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земельные участки, участки недр, обособленные водные объекты и все, что прочно связано с землей.</w:t>
            </w:r>
          </w:p>
        </w:tc>
      </w:tr>
      <w:tr w:rsidR="007321A4" w:rsidTr="007321A4">
        <w:tc>
          <w:tcPr>
            <w:tcW w:w="4785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0047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0471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Движимое имущество</w:t>
            </w:r>
          </w:p>
        </w:tc>
        <w:tc>
          <w:tcPr>
            <w:tcW w:w="4786" w:type="dxa"/>
          </w:tcPr>
          <w:p w:rsidR="007321A4" w:rsidRPr="00000471" w:rsidRDefault="007321A4" w:rsidP="007321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004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ерия равновеликих платежей, </w:t>
            </w:r>
            <w:r w:rsidRPr="00000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получаемых или выплачиваемых через равные периоды времени в течение определенного срока. Различают обычный аннуитет, при котором выплаты производятся в конце каждого периода времени, и авансовый аннуитет, платежи по которому осуществляются в начале каждого периода времени.</w:t>
            </w:r>
          </w:p>
        </w:tc>
      </w:tr>
    </w:tbl>
    <w:p w:rsidR="007321A4" w:rsidRPr="007321A4" w:rsidRDefault="007321A4" w:rsidP="0000047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69" w:type="dxa"/>
        <w:tblLook w:val="04A0" w:firstRow="1" w:lastRow="0" w:firstColumn="1" w:lastColumn="0" w:noHBand="0" w:noVBand="1"/>
      </w:tblPr>
      <w:tblGrid>
        <w:gridCol w:w="1702"/>
        <w:gridCol w:w="1700"/>
        <w:gridCol w:w="1700"/>
        <w:gridCol w:w="1702"/>
        <w:gridCol w:w="1698"/>
      </w:tblGrid>
      <w:tr w:rsidR="00000471" w:rsidTr="00000471">
        <w:tc>
          <w:tcPr>
            <w:tcW w:w="1914" w:type="dxa"/>
          </w:tcPr>
          <w:p w:rsidR="00000471" w:rsidRPr="00000471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14" w:type="dxa"/>
          </w:tcPr>
          <w:p w:rsidR="00000471" w:rsidRPr="00000471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914" w:type="dxa"/>
          </w:tcPr>
          <w:p w:rsidR="00000471" w:rsidRPr="00000471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914" w:type="dxa"/>
          </w:tcPr>
          <w:p w:rsidR="00000471" w:rsidRPr="00000471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15" w:type="dxa"/>
          </w:tcPr>
          <w:p w:rsidR="00000471" w:rsidRPr="00000471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000471" w:rsidTr="00000471">
        <w:tc>
          <w:tcPr>
            <w:tcW w:w="1914" w:type="dxa"/>
          </w:tcPr>
          <w:p w:rsidR="00000471" w:rsidRPr="00ED5DF4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4" w:type="dxa"/>
          </w:tcPr>
          <w:p w:rsidR="00000471" w:rsidRPr="00ED5DF4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0471" w:rsidRPr="00ED5DF4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0471" w:rsidRPr="00ED5DF4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00471" w:rsidRPr="00ED5DF4" w:rsidRDefault="00000471" w:rsidP="000004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471" w:rsidRDefault="00000471" w:rsidP="000004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4B8B" w:rsidRDefault="00000471" w:rsidP="000004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471">
        <w:rPr>
          <w:rFonts w:ascii="Times New Roman" w:hAnsi="Times New Roman" w:cs="Times New Roman"/>
          <w:b/>
          <w:sz w:val="28"/>
          <w:szCs w:val="28"/>
          <w:u w:val="single"/>
        </w:rPr>
        <w:t>Задание№3.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B74D0" w:rsidRPr="003B74D0" w:rsidRDefault="003B74D0" w:rsidP="003B74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B74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</w:t>
      </w:r>
    </w:p>
    <w:p w:rsidR="003B74D0" w:rsidRPr="003B74D0" w:rsidRDefault="003B74D0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величина ежегодного взноса в погашение кредита</w:t>
      </w:r>
    </w:p>
    <w:p w:rsidR="003B74D0" w:rsidRPr="003B74D0" w:rsidRDefault="003B74D0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15000 тыс. руб., </w:t>
      </w:r>
      <w:proofErr w:type="gramStart"/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предоставленного</w:t>
      </w:r>
      <w:proofErr w:type="gramEnd"/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5 лет под 10% годовых.</w:t>
      </w:r>
    </w:p>
    <w:p w:rsidR="00000471" w:rsidRPr="003B74D0" w:rsidRDefault="003B74D0" w:rsidP="000D5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4D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B74D0" w:rsidRPr="003B74D0" w:rsidRDefault="003B74D0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Взнос на амортизацию д</w:t>
      </w:r>
      <w:r w:rsidRPr="000D5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енежной единицы</w:t>
      </w: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это регулярный пери-</w:t>
      </w:r>
    </w:p>
    <w:p w:rsidR="003B74D0" w:rsidRPr="003B74D0" w:rsidRDefault="003B74D0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одический платеж в погашение приносящего доход кредита. </w:t>
      </w:r>
      <w:r w:rsidRPr="003B7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Амортизация</w:t>
      </w: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B74D0" w:rsidRPr="003B74D0" w:rsidRDefault="003B74D0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процесс погашения долга в течени</w:t>
      </w:r>
      <w:proofErr w:type="gramStart"/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 Величина амортизации де-</w:t>
      </w:r>
    </w:p>
    <w:p w:rsidR="003B74D0" w:rsidRPr="003B74D0" w:rsidRDefault="003B74D0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нежной единицы показывает, каким будет обязательный периодический платеж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кредиту, включающий проценты и выплату основной суммы, позволяющий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погасить кредит в течение установленного срока:</w:t>
      </w:r>
    </w:p>
    <w:p w:rsidR="00000471" w:rsidRPr="003B74D0" w:rsidRDefault="003B74D0" w:rsidP="00000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PMT=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PV*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</m:den>
              </m:f>
            </m:den>
          </m:f>
        </m:oMath>
      </m:oMathPara>
    </w:p>
    <w:p w:rsidR="00000471" w:rsidRDefault="00000471" w:rsidP="000004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Задание№4</w:t>
      </w:r>
    </w:p>
    <w:p w:rsidR="000D5E0A" w:rsidRPr="000D5E0A" w:rsidRDefault="000D5E0A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5E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0D5E0A" w:rsidRPr="000D5E0A" w:rsidRDefault="000D5E0A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одинаковую сумму необходимо 5 раз внести </w:t>
      </w:r>
      <w:proofErr w:type="gramStart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000471" w:rsidRPr="000D5E0A" w:rsidRDefault="000D5E0A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пополняемый депозит под 8% </w:t>
      </w:r>
      <w:proofErr w:type="gramStart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</w:t>
      </w:r>
      <w:proofErr w:type="gramEnd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накопить 1700 тыс. руб.?</w:t>
      </w:r>
    </w:p>
    <w:p w:rsidR="000D5E0A" w:rsidRDefault="00000471" w:rsidP="000D5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Задание№5</w:t>
      </w:r>
    </w:p>
    <w:p w:rsidR="000D5E0A" w:rsidRPr="000D5E0A" w:rsidRDefault="000D5E0A" w:rsidP="000D5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E0A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данные:</w:t>
      </w:r>
    </w:p>
    <w:p w:rsidR="000D5E0A" w:rsidRDefault="000D5E0A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8 лет недвижимость будет приносить доход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размере 2 000 тыс. руб. Ставка доходности – 14% годовых. В конце 8-го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недвижимости будет продан за 11 000 </w:t>
      </w:r>
      <w:proofErr w:type="spellStart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Определить его текущую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стоимость.</w:t>
      </w:r>
    </w:p>
    <w:p w:rsidR="000D5E0A" w:rsidRPr="000D5E0A" w:rsidRDefault="000D5E0A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5E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Решение:</w:t>
      </w:r>
    </w:p>
    <w:p w:rsidR="000D5E0A" w:rsidRPr="000D5E0A" w:rsidRDefault="000D5E0A" w:rsidP="005F6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Текущая</w:t>
      </w:r>
      <w:r w:rsidR="005F651E" w:rsidRPr="005F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стоимость единичного аннуитета.</w:t>
      </w:r>
    </w:p>
    <w:p w:rsidR="000D5E0A" w:rsidRPr="000D5E0A" w:rsidRDefault="005F651E" w:rsidP="000D5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PV=PMT*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n</m:t>
                      </m:r>
                    </m:sup>
                  </m:sSup>
                </m:den>
              </m:f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den>
          </m:f>
        </m:oMath>
      </m:oMathPara>
    </w:p>
    <w:p w:rsidR="000D5E0A" w:rsidRDefault="000D5E0A" w:rsidP="005F6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E0A" w:rsidRPr="005F651E" w:rsidRDefault="000D5E0A" w:rsidP="000D5E0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1E" w:rsidRDefault="005F651E" w:rsidP="000D5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</w:p>
    <w:p w:rsidR="00B24B8B" w:rsidRPr="000D5E0A" w:rsidRDefault="00B24B8B" w:rsidP="005F65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4B8B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tbl>
      <w:tblPr>
        <w:tblStyle w:val="a3"/>
        <w:tblW w:w="9938" w:type="dxa"/>
        <w:tblLook w:val="04A0" w:firstRow="1" w:lastRow="0" w:firstColumn="1" w:lastColumn="0" w:noHBand="0" w:noVBand="1"/>
      </w:tblPr>
      <w:tblGrid>
        <w:gridCol w:w="2673"/>
        <w:gridCol w:w="3703"/>
        <w:gridCol w:w="1140"/>
        <w:gridCol w:w="2422"/>
      </w:tblGrid>
      <w:tr w:rsidR="00B24B8B" w:rsidTr="00284C69">
        <w:trPr>
          <w:trHeight w:val="319"/>
        </w:trPr>
        <w:tc>
          <w:tcPr>
            <w:tcW w:w="2673" w:type="dxa"/>
          </w:tcPr>
          <w:p w:rsidR="00B24B8B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703" w:type="dxa"/>
          </w:tcPr>
          <w:p w:rsidR="00B24B8B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ответов</w:t>
            </w:r>
          </w:p>
        </w:tc>
        <w:tc>
          <w:tcPr>
            <w:tcW w:w="1140" w:type="dxa"/>
          </w:tcPr>
          <w:p w:rsidR="00B24B8B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2422" w:type="dxa"/>
          </w:tcPr>
          <w:p w:rsidR="00B24B8B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</w:tr>
      <w:tr w:rsidR="00B24B8B" w:rsidTr="00284C69">
        <w:trPr>
          <w:trHeight w:val="3558"/>
        </w:trPr>
        <w:tc>
          <w:tcPr>
            <w:tcW w:w="2673" w:type="dxa"/>
          </w:tcPr>
          <w:p w:rsidR="00B24B8B" w:rsidRPr="00284C69" w:rsidRDefault="00B24B8B" w:rsidP="00B24B8B">
            <w:pPr>
              <w:pStyle w:val="a4"/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1.Может ли оценщиком быть использована информация о событиях,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произошедших</w:t>
            </w:r>
            <w:proofErr w:type="gramEnd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даты оценки?</w:t>
            </w:r>
          </w:p>
          <w:p w:rsidR="00284C69" w:rsidRDefault="00284C69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4C69" w:rsidRPr="00284C69" w:rsidRDefault="00284C69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69" w:rsidRPr="00284C69" w:rsidRDefault="00284C69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69" w:rsidRPr="00284C69" w:rsidRDefault="00284C69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69" w:rsidRPr="00284C69" w:rsidRDefault="00284C69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69" w:rsidRDefault="00284C69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69" w:rsidRPr="00284C69" w:rsidRDefault="00284C69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B8B" w:rsidRPr="00284C69" w:rsidRDefault="00B24B8B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не может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может только для подтверждения тенденций, сложившихся </w:t>
            </w:r>
            <w:proofErr w:type="gramStart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дату оценки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может только для подтверждения тенденций, сложившихся </w:t>
            </w:r>
            <w:proofErr w:type="gramStart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дату оценки, в том случае, когда такая информация соответствует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сложившимся ожиданиям рынка на дату оценки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может только в том случае если использование </w:t>
            </w:r>
            <w:proofErr w:type="gramStart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указанной</w:t>
            </w:r>
            <w:proofErr w:type="gramEnd"/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 влияет на величину рыночной или иной стоимости,</w:t>
            </w:r>
          </w:p>
          <w:p w:rsidR="00B24B8B" w:rsidRPr="00284C69" w:rsidRDefault="00B24B8B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определяемой в процессе оценки</w:t>
            </w:r>
          </w:p>
        </w:tc>
        <w:tc>
          <w:tcPr>
            <w:tcW w:w="1140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C6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22" w:type="dxa"/>
          </w:tcPr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экономического развития РФ от 20 мая 2015 г.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297 «Об утверждении Федерального стандарта оценки "Общие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оценки, подходы и требования к проведению оценки (ФСО</w:t>
            </w:r>
            <w:proofErr w:type="gramEnd"/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1)»</w:t>
            </w:r>
          </w:p>
          <w:p w:rsidR="00284C69" w:rsidRDefault="00284C69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B8B" w:rsidRPr="00284C69" w:rsidRDefault="00B24B8B" w:rsidP="00284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B8B" w:rsidTr="00284C69">
        <w:trPr>
          <w:trHeight w:val="2483"/>
        </w:trPr>
        <w:tc>
          <w:tcPr>
            <w:tcW w:w="2673" w:type="dxa"/>
          </w:tcPr>
          <w:p w:rsidR="00B24B8B" w:rsidRPr="00284C69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 в соответствии с федеральным стандартом является результатом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оценки?</w:t>
            </w:r>
          </w:p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итоговая величина стоимости объекта оценки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отчет об оценке объекта оценки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стоимость объекта оценки, определенная при проведении оценки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требованиями законодательства об оценочной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оценке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оценки,</w:t>
            </w:r>
          </w:p>
          <w:p w:rsidR="00B24B8B" w:rsidRPr="00284C69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относительно итоговой величины стоимости</w:t>
            </w:r>
          </w:p>
        </w:tc>
        <w:tc>
          <w:tcPr>
            <w:tcW w:w="1140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B8B" w:rsidTr="00284C69">
        <w:trPr>
          <w:trHeight w:val="2483"/>
        </w:trPr>
        <w:tc>
          <w:tcPr>
            <w:tcW w:w="2673" w:type="dxa"/>
          </w:tcPr>
          <w:p w:rsidR="00B24B8B" w:rsidRPr="00284C69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Какая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соответствии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для целей залога?</w:t>
            </w:r>
          </w:p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залоговая стоимость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рыночная стоимость и при наличии соответствующих требований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задании на оценку в дополнение может определяться залоговая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рыночная стоимость и при наличии соответствующих требований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задании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оценку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дополнение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инвестиционная и (или) ликвидационная стоимости</w:t>
            </w:r>
          </w:p>
          <w:p w:rsidR="00B24B8B" w:rsidRPr="00284C69" w:rsidRDefault="00B24B8B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только рыночная стоимость</w:t>
            </w:r>
          </w:p>
        </w:tc>
        <w:tc>
          <w:tcPr>
            <w:tcW w:w="1140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B8B" w:rsidTr="00284C69">
        <w:trPr>
          <w:trHeight w:val="1420"/>
        </w:trPr>
        <w:tc>
          <w:tcPr>
            <w:tcW w:w="2673" w:type="dxa"/>
          </w:tcPr>
          <w:p w:rsidR="00B24B8B" w:rsidRPr="00284C69" w:rsidRDefault="00B24B8B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походы к оце</w:t>
            </w:r>
            <w:r w:rsid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нке в соответствии с </w:t>
            </w:r>
            <w:proofErr w:type="spellStart"/>
            <w:r w:rsid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фсо</w:t>
            </w:r>
            <w:proofErr w:type="spellEnd"/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используется при определении инвестиционной стоимости?</w:t>
            </w:r>
          </w:p>
        </w:tc>
        <w:tc>
          <w:tcPr>
            <w:tcW w:w="3703" w:type="dxa"/>
          </w:tcPr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доходный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доходный и затратный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доходный и сравнительный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сравнительный, доходный, затратный</w:t>
            </w:r>
          </w:p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B8B" w:rsidTr="00284C69">
        <w:trPr>
          <w:trHeight w:val="1353"/>
        </w:trPr>
        <w:tc>
          <w:tcPr>
            <w:tcW w:w="2673" w:type="dxa"/>
          </w:tcPr>
          <w:p w:rsidR="00B24B8B" w:rsidRPr="00284C69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Чем могут быть введены ограничения </w:t>
            </w:r>
            <w:proofErr w:type="spellStart"/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оборотоспособности</w:t>
            </w:r>
            <w:proofErr w:type="spellEnd"/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объектов</w:t>
            </w:r>
          </w:p>
          <w:p w:rsidR="00B24B8B" w:rsidRPr="00B24B8B" w:rsidRDefault="00B24B8B" w:rsidP="00B24B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гражданских прав?</w:t>
            </w:r>
          </w:p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3" w:type="dxa"/>
          </w:tcPr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решением собственника объекта гражданских прав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законом или в установленном законом порядке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только законом</w:t>
            </w:r>
          </w:p>
          <w:p w:rsidR="00B24B8B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только судом</w:t>
            </w:r>
          </w:p>
        </w:tc>
        <w:tc>
          <w:tcPr>
            <w:tcW w:w="1140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B8B" w:rsidTr="00284C69">
        <w:trPr>
          <w:trHeight w:val="1822"/>
        </w:trPr>
        <w:tc>
          <w:tcPr>
            <w:tcW w:w="2673" w:type="dxa"/>
          </w:tcPr>
          <w:p w:rsidR="00284C69" w:rsidRPr="00284C69" w:rsidRDefault="00B24B8B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84C69" w:rsidRPr="00284C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C69"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Заведомо </w:t>
            </w:r>
            <w:proofErr w:type="gramStart"/>
            <w:r w:rsidR="00284C69"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ложные</w:t>
            </w:r>
            <w:proofErr w:type="gramEnd"/>
            <w:r w:rsidR="00284C69"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заключение или показание эксперта, показание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пециалиста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могут</w:t>
            </w:r>
          </w:p>
          <w:p w:rsidR="00B24B8B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наказываться:</w:t>
            </w:r>
          </w:p>
        </w:tc>
        <w:tc>
          <w:tcPr>
            <w:tcW w:w="3703" w:type="dxa"/>
          </w:tcPr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Штрафом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II. Обязательными работами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Исправительными работами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IV. </w:t>
            </w: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Арестом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1) I, II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2) I, III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IV</w:t>
            </w:r>
          </w:p>
          <w:p w:rsidR="00284C69" w:rsidRPr="00284C69" w:rsidRDefault="00284C69" w:rsidP="00284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все перечисленное</w:t>
            </w:r>
          </w:p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B24B8B" w:rsidRPr="00284C69" w:rsidRDefault="00B24B8B" w:rsidP="00B24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B24B8B" w:rsidRPr="00284C69" w:rsidRDefault="00B24B8B" w:rsidP="00284C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24B8B" w:rsidRDefault="005F651E" w:rsidP="005F651E">
      <w:pPr>
        <w:tabs>
          <w:tab w:val="left" w:pos="402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51E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</w:p>
    <w:p w:rsidR="005F651E" w:rsidRDefault="00E93736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один правильный ответ.</w:t>
      </w:r>
    </w:p>
    <w:p w:rsidR="00E93736" w:rsidRPr="00192905" w:rsidRDefault="00192905" w:rsidP="00192905">
      <w:pPr>
        <w:pStyle w:val="a4"/>
        <w:tabs>
          <w:tab w:val="left" w:pos="402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05">
        <w:rPr>
          <w:rFonts w:ascii="Times New Roman" w:hAnsi="Times New Roman" w:cs="Times New Roman"/>
          <w:b/>
          <w:sz w:val="28"/>
          <w:szCs w:val="28"/>
        </w:rPr>
        <w:t>1.</w:t>
      </w:r>
      <w:r w:rsidR="00E93736" w:rsidRPr="00192905">
        <w:rPr>
          <w:rFonts w:ascii="Times New Roman" w:hAnsi="Times New Roman" w:cs="Times New Roman"/>
          <w:b/>
          <w:sz w:val="28"/>
          <w:szCs w:val="28"/>
        </w:rPr>
        <w:t>Сложный процент – это…</w:t>
      </w:r>
    </w:p>
    <w:p w:rsidR="00E93736" w:rsidRDefault="00E93736" w:rsidP="00192905">
      <w:pPr>
        <w:pStyle w:val="a4"/>
        <w:tabs>
          <w:tab w:val="left" w:pos="40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процесс приведения текущей стоимости денег к их будущей стоимости, при условии что сумма удерживается на счету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определенного времени;</w:t>
      </w:r>
    </w:p>
    <w:p w:rsidR="00E93736" w:rsidRDefault="00E93736" w:rsidP="00192905">
      <w:pPr>
        <w:pStyle w:val="a4"/>
        <w:tabs>
          <w:tab w:val="left" w:pos="40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процесс начислений, как на основную сумму, так и на невыплаченные проценты, начисленные на предыдущий период;</w:t>
      </w:r>
    </w:p>
    <w:p w:rsidR="00E93736" w:rsidRDefault="00E93736" w:rsidP="00192905">
      <w:pPr>
        <w:pStyle w:val="a4"/>
        <w:tabs>
          <w:tab w:val="left" w:pos="40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процесс привидения денежных поступлений от инвестиций к их текущей стоимости;</w:t>
      </w:r>
    </w:p>
    <w:p w:rsidR="00E93736" w:rsidRDefault="00E93736" w:rsidP="00192905">
      <w:pPr>
        <w:pStyle w:val="a4"/>
        <w:tabs>
          <w:tab w:val="left" w:pos="40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процесс начислений на основную сумму депозита;</w:t>
      </w:r>
    </w:p>
    <w:p w:rsidR="00E93736" w:rsidRPr="00192905" w:rsidRDefault="00E93736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92905" w:rsidRPr="00192905">
        <w:rPr>
          <w:rFonts w:ascii="Times New Roman" w:hAnsi="Times New Roman" w:cs="Times New Roman"/>
          <w:b/>
          <w:sz w:val="28"/>
          <w:szCs w:val="28"/>
        </w:rPr>
        <w:t>Фактор фонда возмещения – это…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 погашения основной суммы кредита;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регулярный периодический платеж в погашение приносящего доход кредита;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процесс погашения долга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времени;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верного ответа нет.</w:t>
      </w:r>
    </w:p>
    <w:p w:rsidR="00192905" w:rsidRP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05">
        <w:rPr>
          <w:rFonts w:ascii="Times New Roman" w:hAnsi="Times New Roman" w:cs="Times New Roman"/>
          <w:b/>
          <w:sz w:val="28"/>
          <w:szCs w:val="28"/>
        </w:rPr>
        <w:t>3. Определить приведенную к настоящему времени стоимость дохода, величина которого известна в будущем при заданном периоде времени и процентной ставке, позволяет функция: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ложный процент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sz w:val="28"/>
          <w:szCs w:val="28"/>
        </w:rPr>
        <w:t>удущая стоимость аннуитета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периодический взнос на накопление фонда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исконтирование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текущая стоимость аннуитета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периодический взнос на погашение кредита</w:t>
      </w:r>
    </w:p>
    <w:p w:rsidR="00192905" w:rsidRP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05">
        <w:rPr>
          <w:rFonts w:ascii="Times New Roman" w:hAnsi="Times New Roman" w:cs="Times New Roman"/>
          <w:b/>
          <w:sz w:val="28"/>
          <w:szCs w:val="28"/>
        </w:rPr>
        <w:t>4 Утверждение о том, что в денежном потоке в виде авансового аннуитета число периодов накопления и количество платежей совпадает: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неверно</w:t>
      </w:r>
    </w:p>
    <w:p w:rsidR="00192905" w:rsidRP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05">
        <w:rPr>
          <w:rFonts w:ascii="Times New Roman" w:hAnsi="Times New Roman" w:cs="Times New Roman"/>
          <w:b/>
          <w:sz w:val="28"/>
          <w:szCs w:val="28"/>
        </w:rPr>
        <w:t>5. Утверждение о том, что функция «Дисконтирование» и «Сложный процент» находятся в обратной зависимости:</w:t>
      </w:r>
    </w:p>
    <w:p w:rsidR="00192905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</w:t>
      </w:r>
    </w:p>
    <w:p w:rsidR="00192905" w:rsidRPr="00E93736" w:rsidRDefault="00192905" w:rsidP="00192905">
      <w:pPr>
        <w:tabs>
          <w:tab w:val="left" w:pos="40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неверно</w:t>
      </w:r>
    </w:p>
    <w:p w:rsidR="00E93736" w:rsidRPr="00192905" w:rsidRDefault="00192905" w:rsidP="00192905">
      <w:pPr>
        <w:pStyle w:val="a4"/>
        <w:tabs>
          <w:tab w:val="left" w:pos="402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905">
        <w:rPr>
          <w:rFonts w:ascii="Times New Roman" w:hAnsi="Times New Roman" w:cs="Times New Roman"/>
          <w:b/>
          <w:sz w:val="28"/>
          <w:szCs w:val="28"/>
        </w:rPr>
        <w:t>6.</w:t>
      </w:r>
      <w:r w:rsidR="00E93736" w:rsidRPr="00192905">
        <w:rPr>
          <w:rFonts w:ascii="Times New Roman" w:hAnsi="Times New Roman" w:cs="Times New Roman"/>
          <w:b/>
          <w:sz w:val="28"/>
          <w:szCs w:val="28"/>
        </w:rPr>
        <w:t>Дополните утверждение.</w:t>
      </w:r>
    </w:p>
    <w:p w:rsidR="00E93736" w:rsidRPr="00E93736" w:rsidRDefault="00E93736" w:rsidP="00192905">
      <w:pPr>
        <w:pStyle w:val="a4"/>
        <w:tabs>
          <w:tab w:val="left" w:pos="40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– это возможность того, что……</w:t>
      </w:r>
    </w:p>
    <w:sectPr w:rsidR="00E93736" w:rsidRPr="00E9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69" w:rsidRDefault="00284C69" w:rsidP="00284C69">
      <w:pPr>
        <w:spacing w:after="0" w:line="240" w:lineRule="auto"/>
      </w:pPr>
      <w:r>
        <w:separator/>
      </w:r>
    </w:p>
  </w:endnote>
  <w:endnote w:type="continuationSeparator" w:id="0">
    <w:p w:rsidR="00284C69" w:rsidRDefault="00284C69" w:rsidP="0028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69" w:rsidRDefault="00284C69" w:rsidP="00284C69">
      <w:pPr>
        <w:spacing w:after="0" w:line="240" w:lineRule="auto"/>
      </w:pPr>
      <w:r>
        <w:separator/>
      </w:r>
    </w:p>
  </w:footnote>
  <w:footnote w:type="continuationSeparator" w:id="0">
    <w:p w:rsidR="00284C69" w:rsidRDefault="00284C69" w:rsidP="0028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A74"/>
    <w:multiLevelType w:val="hybridMultilevel"/>
    <w:tmpl w:val="B330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6EB7"/>
    <w:multiLevelType w:val="hybridMultilevel"/>
    <w:tmpl w:val="BBF890B4"/>
    <w:lvl w:ilvl="0" w:tplc="AC585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BC9F14">
      <w:start w:val="1"/>
      <w:numFmt w:val="upperRoman"/>
      <w:lvlText w:val="%2."/>
      <w:lvlJc w:val="left"/>
      <w:pPr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85346B"/>
    <w:multiLevelType w:val="hybridMultilevel"/>
    <w:tmpl w:val="EACE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00C10"/>
    <w:multiLevelType w:val="hybridMultilevel"/>
    <w:tmpl w:val="C28021B4"/>
    <w:lvl w:ilvl="0" w:tplc="8F426678">
      <w:start w:val="2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FE656D0"/>
    <w:multiLevelType w:val="hybridMultilevel"/>
    <w:tmpl w:val="DE1E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4"/>
    <w:rsid w:val="00000471"/>
    <w:rsid w:val="000D5E0A"/>
    <w:rsid w:val="000D64FF"/>
    <w:rsid w:val="00192905"/>
    <w:rsid w:val="00284C69"/>
    <w:rsid w:val="00336879"/>
    <w:rsid w:val="003B74D0"/>
    <w:rsid w:val="00587A49"/>
    <w:rsid w:val="005F651E"/>
    <w:rsid w:val="007321A4"/>
    <w:rsid w:val="00762E04"/>
    <w:rsid w:val="00B24B8B"/>
    <w:rsid w:val="00E93736"/>
    <w:rsid w:val="00E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B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C69"/>
  </w:style>
  <w:style w:type="paragraph" w:styleId="a7">
    <w:name w:val="footer"/>
    <w:basedOn w:val="a"/>
    <w:link w:val="a8"/>
    <w:uiPriority w:val="99"/>
    <w:unhideWhenUsed/>
    <w:rsid w:val="0028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C69"/>
  </w:style>
  <w:style w:type="character" w:styleId="a9">
    <w:name w:val="Strong"/>
    <w:basedOn w:val="a0"/>
    <w:uiPriority w:val="22"/>
    <w:qFormat/>
    <w:rsid w:val="007321A4"/>
    <w:rPr>
      <w:b/>
      <w:bCs/>
    </w:rPr>
  </w:style>
  <w:style w:type="character" w:styleId="aa">
    <w:name w:val="Placeholder Text"/>
    <w:basedOn w:val="a0"/>
    <w:uiPriority w:val="99"/>
    <w:semiHidden/>
    <w:rsid w:val="003B74D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B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B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C69"/>
  </w:style>
  <w:style w:type="paragraph" w:styleId="a7">
    <w:name w:val="footer"/>
    <w:basedOn w:val="a"/>
    <w:link w:val="a8"/>
    <w:uiPriority w:val="99"/>
    <w:unhideWhenUsed/>
    <w:rsid w:val="0028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C69"/>
  </w:style>
  <w:style w:type="character" w:styleId="a9">
    <w:name w:val="Strong"/>
    <w:basedOn w:val="a0"/>
    <w:uiPriority w:val="22"/>
    <w:qFormat/>
    <w:rsid w:val="007321A4"/>
    <w:rPr>
      <w:b/>
      <w:bCs/>
    </w:rPr>
  </w:style>
  <w:style w:type="character" w:styleId="aa">
    <w:name w:val="Placeholder Text"/>
    <w:basedOn w:val="a0"/>
    <w:uiPriority w:val="99"/>
    <w:semiHidden/>
    <w:rsid w:val="003B74D0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B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84F68-3CB1-4173-A604-B893C298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2020-10-09T19:51:00Z</dcterms:created>
  <dcterms:modified xsi:type="dcterms:W3CDTF">2020-10-10T08:02:00Z</dcterms:modified>
</cp:coreProperties>
</file>