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66E" w:rsidRPr="0035266E" w:rsidRDefault="0035266E" w:rsidP="0035266E">
      <w:pPr>
        <w:shd w:val="clear" w:color="auto" w:fill="B8CCE4" w:themeFill="accent1" w:themeFillTint="66"/>
        <w:spacing w:after="0" w:line="360" w:lineRule="auto"/>
        <w:jc w:val="center"/>
        <w:outlineLvl w:val="2"/>
        <w:rPr>
          <w:rFonts w:ascii="Times New Roman" w:eastAsia="Times New Roman" w:hAnsi="Times New Roman" w:cs="Times New Roman"/>
          <w:b/>
          <w:bCs/>
          <w:color w:val="000000"/>
          <w:sz w:val="32"/>
          <w:szCs w:val="32"/>
        </w:rPr>
      </w:pPr>
      <w:r w:rsidRPr="0035266E">
        <w:rPr>
          <w:rFonts w:ascii="Times New Roman" w:eastAsia="Times New Roman" w:hAnsi="Times New Roman" w:cs="Times New Roman"/>
          <w:b/>
          <w:bCs/>
          <w:color w:val="000000"/>
          <w:sz w:val="32"/>
          <w:szCs w:val="32"/>
        </w:rPr>
        <w:t>Тема: Организация регулирования эмиссионно-кассовых операций</w:t>
      </w:r>
    </w:p>
    <w:p w:rsidR="0035266E" w:rsidRPr="0035266E" w:rsidRDefault="0035266E" w:rsidP="0035266E">
      <w:pPr>
        <w:widowControl w:val="0"/>
        <w:spacing w:before="240" w:after="0" w:line="240" w:lineRule="auto"/>
        <w:rPr>
          <w:rFonts w:ascii="Times New Roman" w:eastAsia="Times New Roman" w:hAnsi="Times New Roman" w:cs="Times New Roman"/>
          <w:b/>
          <w:i/>
          <w:sz w:val="28"/>
          <w:szCs w:val="28"/>
          <w:lang w:eastAsia="en-US"/>
        </w:rPr>
      </w:pPr>
      <w:r w:rsidRPr="0035266E">
        <w:rPr>
          <w:rFonts w:ascii="Times New Roman" w:eastAsia="Times New Roman" w:hAnsi="Times New Roman" w:cs="Times New Roman"/>
          <w:b/>
          <w:i/>
          <w:sz w:val="28"/>
          <w:szCs w:val="28"/>
          <w:lang w:eastAsia="en-US"/>
        </w:rPr>
        <w:t>Содержание учебного материала</w:t>
      </w:r>
      <w:r w:rsidRPr="0035266E">
        <w:rPr>
          <w:rFonts w:ascii="Times New Roman" w:eastAsia="Times New Roman" w:hAnsi="Times New Roman" w:cs="Times New Roman"/>
          <w:b/>
          <w:i/>
          <w:sz w:val="28"/>
          <w:szCs w:val="28"/>
          <w:lang w:eastAsia="en-US"/>
        </w:rPr>
        <w:t>:</w:t>
      </w:r>
    </w:p>
    <w:p w:rsidR="0035266E" w:rsidRPr="0035266E" w:rsidRDefault="0035266E" w:rsidP="0035266E">
      <w:pPr>
        <w:shd w:val="clear" w:color="auto" w:fill="FFFFFF"/>
        <w:spacing w:before="240" w:after="0"/>
        <w:outlineLvl w:val="2"/>
        <w:rPr>
          <w:rFonts w:ascii="Times New Roman" w:eastAsia="Times New Roman" w:hAnsi="Times New Roman" w:cs="Times New Roman"/>
          <w:sz w:val="28"/>
          <w:szCs w:val="28"/>
          <w:lang w:eastAsia="en-US"/>
        </w:rPr>
      </w:pPr>
      <w:r w:rsidRPr="0035266E">
        <w:rPr>
          <w:rFonts w:ascii="Times New Roman" w:eastAsia="Times New Roman" w:hAnsi="Times New Roman" w:cs="Times New Roman"/>
          <w:sz w:val="28"/>
          <w:szCs w:val="28"/>
          <w:lang w:eastAsia="en-US"/>
        </w:rPr>
        <w:t xml:space="preserve">Понятие эмиссионно-кассовых операций и направления их регулирования. </w:t>
      </w:r>
    </w:p>
    <w:p w:rsidR="0035266E" w:rsidRDefault="0035266E" w:rsidP="0035266E">
      <w:pPr>
        <w:shd w:val="clear" w:color="auto" w:fill="FFFFFF"/>
        <w:spacing w:after="0"/>
        <w:outlineLvl w:val="2"/>
        <w:rPr>
          <w:rFonts w:ascii="Times New Roman" w:eastAsia="Times New Roman" w:hAnsi="Times New Roman" w:cs="Times New Roman"/>
          <w:sz w:val="28"/>
          <w:szCs w:val="28"/>
          <w:lang w:eastAsia="en-US"/>
        </w:rPr>
      </w:pPr>
      <w:r w:rsidRPr="0035266E">
        <w:rPr>
          <w:rFonts w:ascii="Times New Roman" w:eastAsia="Times New Roman" w:hAnsi="Times New Roman" w:cs="Times New Roman"/>
          <w:sz w:val="28"/>
          <w:szCs w:val="28"/>
          <w:lang w:eastAsia="en-US"/>
        </w:rPr>
        <w:t>Функции БР по регулированию наличного денежного обращения.</w:t>
      </w:r>
    </w:p>
    <w:p w:rsidR="00A15CF9" w:rsidRDefault="00A15CF9" w:rsidP="0035266E">
      <w:pPr>
        <w:shd w:val="clear" w:color="auto" w:fill="FFFFFF"/>
        <w:spacing w:after="0"/>
        <w:outlineLvl w:val="2"/>
        <w:rPr>
          <w:rFonts w:ascii="Times New Roman" w:eastAsia="Times New Roman" w:hAnsi="Times New Roman" w:cs="Times New Roman"/>
          <w:sz w:val="28"/>
          <w:szCs w:val="28"/>
          <w:lang w:eastAsia="en-US"/>
        </w:rPr>
      </w:pPr>
    </w:p>
    <w:p w:rsidR="0035266E" w:rsidRDefault="0035266E" w:rsidP="0035266E">
      <w:pPr>
        <w:shd w:val="clear" w:color="auto" w:fill="FFFFFF"/>
        <w:spacing w:after="0"/>
        <w:outlineLvl w:val="2"/>
        <w:rPr>
          <w:rFonts w:ascii="Times New Roman" w:eastAsia="Times New Roman" w:hAnsi="Times New Roman" w:cs="Times New Roman"/>
          <w:b/>
          <w:i/>
          <w:sz w:val="28"/>
          <w:szCs w:val="28"/>
          <w:lang w:eastAsia="en-US"/>
        </w:rPr>
      </w:pPr>
      <w:r w:rsidRPr="0035266E">
        <w:rPr>
          <w:rFonts w:ascii="Times New Roman" w:eastAsia="Times New Roman" w:hAnsi="Times New Roman" w:cs="Times New Roman"/>
          <w:b/>
          <w:i/>
          <w:sz w:val="28"/>
          <w:szCs w:val="28"/>
          <w:lang w:eastAsia="en-US"/>
        </w:rPr>
        <w:t>Методические рекомендации для выполнения задания</w:t>
      </w:r>
      <w:r>
        <w:rPr>
          <w:rFonts w:ascii="Times New Roman" w:eastAsia="Times New Roman" w:hAnsi="Times New Roman" w:cs="Times New Roman"/>
          <w:b/>
          <w:i/>
          <w:sz w:val="28"/>
          <w:szCs w:val="28"/>
          <w:lang w:eastAsia="en-US"/>
        </w:rPr>
        <w:t>:</w:t>
      </w:r>
    </w:p>
    <w:p w:rsidR="00A15CF9" w:rsidRDefault="0035266E" w:rsidP="0035266E">
      <w:pPr>
        <w:numPr>
          <w:ilvl w:val="0"/>
          <w:numId w:val="29"/>
        </w:numPr>
        <w:shd w:val="clear" w:color="auto" w:fill="FFFFFF"/>
        <w:spacing w:after="0"/>
        <w:outlineLvl w:val="2"/>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Внимательно ознакомиться с лекционным материалом</w:t>
      </w:r>
      <w:r w:rsidR="00A15CF9">
        <w:rPr>
          <w:rFonts w:ascii="Times New Roman" w:eastAsia="Times New Roman" w:hAnsi="Times New Roman" w:cs="Times New Roman"/>
          <w:sz w:val="28"/>
          <w:szCs w:val="28"/>
          <w:lang w:eastAsia="en-US"/>
        </w:rPr>
        <w:t>;</w:t>
      </w:r>
    </w:p>
    <w:p w:rsidR="0035266E" w:rsidRPr="0035266E" w:rsidRDefault="00A15CF9" w:rsidP="0035266E">
      <w:pPr>
        <w:numPr>
          <w:ilvl w:val="0"/>
          <w:numId w:val="29"/>
        </w:numPr>
        <w:shd w:val="clear" w:color="auto" w:fill="FFFFFF"/>
        <w:spacing w:after="0"/>
        <w:outlineLvl w:val="2"/>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Оформить конспект по основным аспектам лекционного материала.</w:t>
      </w:r>
      <w:bookmarkStart w:id="0" w:name="_GoBack"/>
      <w:bookmarkEnd w:id="0"/>
    </w:p>
    <w:p w:rsidR="0035266E" w:rsidRDefault="0035266E" w:rsidP="0035266E">
      <w:pPr>
        <w:shd w:val="clear" w:color="auto" w:fill="FFFFFF"/>
        <w:spacing w:after="0"/>
        <w:outlineLvl w:val="2"/>
        <w:rPr>
          <w:rFonts w:ascii="Times New Roman" w:eastAsia="Times New Roman" w:hAnsi="Times New Roman" w:cs="Times New Roman"/>
          <w:b/>
          <w:bCs/>
          <w:color w:val="000000"/>
          <w:sz w:val="28"/>
          <w:szCs w:val="28"/>
        </w:rPr>
      </w:pPr>
    </w:p>
    <w:p w:rsidR="00064EEC" w:rsidRPr="00064EEC" w:rsidRDefault="00064EEC" w:rsidP="0035266E">
      <w:pPr>
        <w:shd w:val="clear" w:color="auto" w:fill="B8CCE4" w:themeFill="accent1" w:themeFillTint="66"/>
        <w:spacing w:after="0" w:line="360" w:lineRule="auto"/>
        <w:jc w:val="center"/>
        <w:outlineLvl w:val="2"/>
        <w:rPr>
          <w:rFonts w:ascii="Times New Roman" w:eastAsia="Times New Roman" w:hAnsi="Times New Roman" w:cs="Times New Roman"/>
          <w:b/>
          <w:bCs/>
          <w:color w:val="000000"/>
          <w:sz w:val="28"/>
          <w:szCs w:val="28"/>
        </w:rPr>
      </w:pPr>
      <w:r w:rsidRPr="00064EEC">
        <w:rPr>
          <w:rFonts w:ascii="Times New Roman" w:eastAsia="Times New Roman" w:hAnsi="Times New Roman" w:cs="Times New Roman"/>
          <w:b/>
          <w:bCs/>
          <w:color w:val="000000"/>
          <w:sz w:val="28"/>
          <w:szCs w:val="28"/>
        </w:rPr>
        <w:t>Организация регулирования эмиссионно-кассовых операций</w:t>
      </w:r>
    </w:p>
    <w:p w:rsidR="00064EEC" w:rsidRDefault="00064EEC" w:rsidP="0035266E">
      <w:pPr>
        <w:shd w:val="clear" w:color="auto" w:fill="B8CCE4" w:themeFill="accent1" w:themeFillTint="66"/>
        <w:spacing w:after="0" w:line="360" w:lineRule="auto"/>
        <w:jc w:val="center"/>
        <w:outlineLvl w:val="3"/>
        <w:rPr>
          <w:rFonts w:ascii="Times New Roman" w:eastAsia="Times New Roman" w:hAnsi="Times New Roman" w:cs="Times New Roman"/>
          <w:b/>
          <w:bCs/>
          <w:color w:val="000000"/>
          <w:sz w:val="28"/>
          <w:szCs w:val="28"/>
        </w:rPr>
      </w:pPr>
      <w:bookmarkStart w:id="1" w:name="sect2"/>
      <w:bookmarkEnd w:id="1"/>
      <w:r w:rsidRPr="00064EEC">
        <w:rPr>
          <w:rFonts w:ascii="Times New Roman" w:eastAsia="Times New Roman" w:hAnsi="Times New Roman" w:cs="Times New Roman"/>
          <w:b/>
          <w:bCs/>
          <w:color w:val="000000"/>
          <w:sz w:val="28"/>
          <w:szCs w:val="28"/>
        </w:rPr>
        <w:t>Понятие эмиссионно-кассовых операций и направления их регулирования</w:t>
      </w:r>
    </w:p>
    <w:p w:rsidR="0035266E" w:rsidRPr="00064EEC" w:rsidRDefault="0035266E" w:rsidP="00E100C5">
      <w:pPr>
        <w:shd w:val="clear" w:color="auto" w:fill="FFFFFF"/>
        <w:spacing w:after="0" w:line="360" w:lineRule="auto"/>
        <w:jc w:val="center"/>
        <w:outlineLvl w:val="3"/>
        <w:rPr>
          <w:rFonts w:ascii="Times New Roman" w:eastAsia="Times New Roman" w:hAnsi="Times New Roman" w:cs="Times New Roman"/>
          <w:b/>
          <w:bCs/>
          <w:color w:val="000000"/>
          <w:sz w:val="28"/>
          <w:szCs w:val="28"/>
        </w:rPr>
      </w:pPr>
    </w:p>
    <w:p w:rsid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bookmarkStart w:id="2" w:name="keyword1"/>
      <w:bookmarkEnd w:id="2"/>
      <w:r w:rsidRPr="00064EEC">
        <w:rPr>
          <w:rFonts w:ascii="Times New Roman" w:eastAsia="Times New Roman" w:hAnsi="Times New Roman" w:cs="Times New Roman"/>
          <w:b/>
          <w:bCs/>
          <w:i/>
          <w:iCs/>
          <w:color w:val="000000"/>
          <w:sz w:val="28"/>
          <w:szCs w:val="28"/>
        </w:rPr>
        <w:t>Эмиссионно-кассовые операции</w:t>
      </w:r>
      <w:r w:rsidRPr="00064EEC">
        <w:rPr>
          <w:rFonts w:ascii="Times New Roman" w:eastAsia="Times New Roman" w:hAnsi="Times New Roman" w:cs="Times New Roman"/>
          <w:color w:val="000000"/>
          <w:sz w:val="28"/>
          <w:szCs w:val="28"/>
        </w:rPr>
        <w:t xml:space="preserve"> - это операции банка, связанные с выпуском наличных денег в хозяйственный оборот и кассовым обслуживанием клиентов. </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Соответственно, организация регулирования эмиссионно-кассовых операций центрального банка как "главного банка" страны осуществляется в рамках следующих направлений его деятельности:</w:t>
      </w:r>
    </w:p>
    <w:p w:rsidR="00064EEC" w:rsidRPr="00064EEC" w:rsidRDefault="00064EEC" w:rsidP="00064EEC">
      <w:pPr>
        <w:numPr>
          <w:ilvl w:val="0"/>
          <w:numId w:val="28"/>
        </w:numPr>
        <w:spacing w:after="0" w:line="360" w:lineRule="auto"/>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организация и регулирование собственных эмиссионно-кассовых операций, в результате которых происходит выпуск наличных денег в хозяйственный оборот и кассовое обслуживание клиентов центрального банка (коммерческих банков, бюджетов различных уровней);</w:t>
      </w:r>
    </w:p>
    <w:p w:rsidR="00064EEC" w:rsidRPr="00064EEC" w:rsidRDefault="00064EEC" w:rsidP="00064EEC">
      <w:pPr>
        <w:numPr>
          <w:ilvl w:val="0"/>
          <w:numId w:val="28"/>
        </w:numPr>
        <w:spacing w:after="0" w:line="360" w:lineRule="auto"/>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регулирование кассовых опера</w:t>
      </w:r>
      <w:r w:rsidR="00E100C5">
        <w:rPr>
          <w:rFonts w:ascii="Times New Roman" w:eastAsia="Times New Roman" w:hAnsi="Times New Roman" w:cs="Times New Roman"/>
          <w:color w:val="000000"/>
          <w:sz w:val="28"/>
          <w:szCs w:val="28"/>
        </w:rPr>
        <w:t>ций коммерческих банков, которые</w:t>
      </w:r>
      <w:r w:rsidRPr="00064EEC">
        <w:rPr>
          <w:rFonts w:ascii="Times New Roman" w:eastAsia="Times New Roman" w:hAnsi="Times New Roman" w:cs="Times New Roman"/>
          <w:color w:val="000000"/>
          <w:sz w:val="28"/>
          <w:szCs w:val="28"/>
        </w:rPr>
        <w:t xml:space="preserve"> центральный банк осуществляет как особый надзорный орган в рамках банковской системы страны.</w:t>
      </w:r>
    </w:p>
    <w:p w:rsidR="00064EEC" w:rsidRPr="00064EEC" w:rsidRDefault="00064EEC" w:rsidP="0035266E">
      <w:pPr>
        <w:shd w:val="clear" w:color="auto" w:fill="B8CCE4" w:themeFill="accent1" w:themeFillTint="66"/>
        <w:spacing w:after="0" w:line="360" w:lineRule="auto"/>
        <w:ind w:firstLine="708"/>
        <w:jc w:val="center"/>
        <w:outlineLvl w:val="3"/>
        <w:rPr>
          <w:rFonts w:ascii="Times New Roman" w:eastAsia="Times New Roman" w:hAnsi="Times New Roman" w:cs="Times New Roman"/>
          <w:b/>
          <w:bCs/>
          <w:color w:val="000000"/>
          <w:sz w:val="28"/>
          <w:szCs w:val="28"/>
        </w:rPr>
      </w:pPr>
      <w:bookmarkStart w:id="3" w:name="sect3"/>
      <w:bookmarkEnd w:id="3"/>
      <w:r w:rsidRPr="00064EEC">
        <w:rPr>
          <w:rFonts w:ascii="Times New Roman" w:eastAsia="Times New Roman" w:hAnsi="Times New Roman" w:cs="Times New Roman"/>
          <w:b/>
          <w:bCs/>
          <w:color w:val="000000"/>
          <w:sz w:val="28"/>
          <w:szCs w:val="28"/>
        </w:rPr>
        <w:t>Назначение регулирования эмиссионно-кассовых операций центральным банком</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Регулирование эмиссионно-кассовых операций как одно из направлений деятельности центрального банка любой страны является для него традиционным.</w:t>
      </w:r>
    </w:p>
    <w:p w:rsidR="00064EEC" w:rsidRPr="00064EEC" w:rsidRDefault="00064EEC" w:rsidP="00064EEC">
      <w:pPr>
        <w:shd w:val="clear" w:color="auto" w:fill="FFFFFF"/>
        <w:spacing w:after="0" w:line="360" w:lineRule="auto"/>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 xml:space="preserve">Исторически передача права эмиссии официальных платежных средств центральным банкам возникла после серии крупных денежных кризисов, </w:t>
      </w:r>
      <w:r w:rsidRPr="00064EEC">
        <w:rPr>
          <w:rFonts w:ascii="Times New Roman" w:eastAsia="Times New Roman" w:hAnsi="Times New Roman" w:cs="Times New Roman"/>
          <w:color w:val="000000"/>
          <w:sz w:val="28"/>
          <w:szCs w:val="28"/>
        </w:rPr>
        <w:lastRenderedPageBreak/>
        <w:t>обусловленных тем, что правительства разных стран, пользуясь эмиссионным правом, выпускали в обращение необеспеченные денежные знаки для покрытия бюджетного дефицита. При этом население переставало доверять платежным средствам, сфера товарно-денежного обмена сворачивалась до бартерных сделок.</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Таким образом, центральные банки в различных странах создавались, прежде всего, для вполне определенной цели - сосредоточения эмиссии наличных денег в едином эмиссионном центре. Это дало возможность, с одной стороны, обеспечивать достаточный уровень монетизации экономики, в том числе удовлетворять потребности экономических субъектов в наличных деньгах, а с другой - не допускать обесценения денег в результате "раскручивания" инфляции. Кроме того, сосредоточение эмиссии наличных денег в едином центре позволяло уменьшить риски, связанные с фальшивомонетничеством и подделкой банкнот и монет.</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Сокращение доли наличных денег в совокупном денежном обороте (до 5-10% в развитых странах) не умаляет значения центрального банка в организации налично-денежного обращения. Опыт всех государств показывает, что независимо от уровня развития рыночной экономики и преобладания в денежно-кредитных системах инструментов безналичных расчетов наличное денежное обращение продолжает занимать определенное место в экономике.</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Роль наличных денег на современном этапе развития экономики любой страны неразрывно связана с теми временами, когда именно банкноты и монеты составляли основу денежной системы и посредством их обращения выполнялись практически все расчеты и другие денежные операции. Наличные деньги обобщенно выражают сложившееся в человеческом восприятии в течение многих веков предназначение и функции денег, когда деньгами выступали реальные товары и в том числе драгоценные металлы. Именно они в концентрированном выражении олицетворяют неизменность самой сути и значения денег для экономики. Ни один другой финансовый инструмент не обладает такой универсальностью и ликвидностью.</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lastRenderedPageBreak/>
        <w:t>Эта способность наличных денег является одним из основных компонентов, определяющих их значение в экономике. Потребность хозяйственной жизни в денежной наличности остается непреходящей, несмотря на уровень развития финансово-кредитной системы в стране и внедрение в практику проведения расчетов и платежей самых современных технологий.</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Наличные деньги как абсолютно ликвидное платежное средство продолжают обслуживать экономические отношения, связанные с получением, распределением и использованием денежных доходов населения, частично обслуживают расчеты между хозяйствующими субъектами, а также внутри них, частично - межбанковские расчеты.</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Для России, где доля налично-денежного обращения по ряду исторических, экономических, технических и психологических причин пока достаточно велика (на протяжении последних десяти лет она составляет около 30%), регулирование налично-денежного обращения имеет большое значение. Наличные деньги являются важной составляющей российской денежной системы, от которой в немалой степени зависит ее устойчивое функционирование. Реальных оснований предполагать, что значение денежной наличности в жизни российского общества в обозримом будущем может ослабнуть, не имеется.</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Наряду с безналичной составляющей денежной массы наличные деньги являются постоянным объектом контроля и регулирования со стороны центрального банка.</w:t>
      </w:r>
    </w:p>
    <w:p w:rsidR="00064EEC" w:rsidRPr="00064EEC" w:rsidRDefault="00064EEC" w:rsidP="0035266E">
      <w:pPr>
        <w:shd w:val="clear" w:color="auto" w:fill="B8CCE4" w:themeFill="accent1" w:themeFillTint="66"/>
        <w:spacing w:after="0" w:line="360" w:lineRule="auto"/>
        <w:ind w:firstLine="708"/>
        <w:jc w:val="center"/>
        <w:outlineLvl w:val="3"/>
        <w:rPr>
          <w:rFonts w:ascii="Times New Roman" w:eastAsia="Times New Roman" w:hAnsi="Times New Roman" w:cs="Times New Roman"/>
          <w:b/>
          <w:bCs/>
          <w:color w:val="000000"/>
          <w:sz w:val="28"/>
          <w:szCs w:val="28"/>
        </w:rPr>
      </w:pPr>
      <w:bookmarkStart w:id="4" w:name="sect4"/>
      <w:bookmarkEnd w:id="4"/>
      <w:r w:rsidRPr="00064EEC">
        <w:rPr>
          <w:rFonts w:ascii="Times New Roman" w:eastAsia="Times New Roman" w:hAnsi="Times New Roman" w:cs="Times New Roman"/>
          <w:b/>
          <w:bCs/>
          <w:color w:val="000000"/>
          <w:sz w:val="28"/>
          <w:szCs w:val="28"/>
        </w:rPr>
        <w:t>Функции Банка России по регулированию наличного денежного обращения</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Федеральный закон "О Центральном банке (Банке России)" в </w:t>
      </w:r>
      <w:r w:rsidRPr="00064EEC">
        <w:rPr>
          <w:rFonts w:ascii="Times New Roman" w:eastAsia="Times New Roman" w:hAnsi="Times New Roman" w:cs="Times New Roman"/>
          <w:i/>
          <w:iCs/>
          <w:color w:val="000000"/>
          <w:sz w:val="28"/>
          <w:szCs w:val="28"/>
        </w:rPr>
        <w:t>части регулирования наличного денежного обращения</w:t>
      </w:r>
      <w:r w:rsidRPr="00064EEC">
        <w:rPr>
          <w:rFonts w:ascii="Times New Roman" w:eastAsia="Times New Roman" w:hAnsi="Times New Roman" w:cs="Times New Roman"/>
          <w:color w:val="000000"/>
          <w:sz w:val="28"/>
          <w:szCs w:val="28"/>
        </w:rPr>
        <w:t> на территории Российской Федерации возлагает на Банк России выполнение следующих </w:t>
      </w:r>
      <w:r w:rsidRPr="00064EEC">
        <w:rPr>
          <w:rFonts w:ascii="Times New Roman" w:eastAsia="Times New Roman" w:hAnsi="Times New Roman" w:cs="Times New Roman"/>
          <w:b/>
          <w:bCs/>
          <w:color w:val="000000"/>
          <w:sz w:val="28"/>
          <w:szCs w:val="28"/>
        </w:rPr>
        <w:t>функций</w:t>
      </w:r>
      <w:r w:rsidRPr="00064EEC">
        <w:rPr>
          <w:rFonts w:ascii="Times New Roman" w:eastAsia="Times New Roman" w:hAnsi="Times New Roman" w:cs="Times New Roman"/>
          <w:color w:val="000000"/>
          <w:sz w:val="28"/>
          <w:szCs w:val="28"/>
        </w:rPr>
        <w:t>:</w:t>
      </w:r>
    </w:p>
    <w:p w:rsidR="00064EEC" w:rsidRPr="00064EEC" w:rsidRDefault="00064EEC" w:rsidP="00064EEC">
      <w:pPr>
        <w:numPr>
          <w:ilvl w:val="0"/>
          <w:numId w:val="9"/>
        </w:numPr>
        <w:spacing w:after="0" w:line="360" w:lineRule="auto"/>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прогнозирование и организация производства, перевозка и хранение банкнот и монет Банка России, создание их резервных фондов;</w:t>
      </w:r>
    </w:p>
    <w:p w:rsidR="00064EEC" w:rsidRPr="00064EEC" w:rsidRDefault="00064EEC" w:rsidP="00064EEC">
      <w:pPr>
        <w:numPr>
          <w:ilvl w:val="0"/>
          <w:numId w:val="9"/>
        </w:numPr>
        <w:spacing w:after="0" w:line="360" w:lineRule="auto"/>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установление правил хранения, перевозки и инкассации наличных денег для кредитных организаций;</w:t>
      </w:r>
    </w:p>
    <w:p w:rsidR="00064EEC" w:rsidRPr="00064EEC" w:rsidRDefault="00064EEC" w:rsidP="00064EEC">
      <w:pPr>
        <w:numPr>
          <w:ilvl w:val="0"/>
          <w:numId w:val="9"/>
        </w:numPr>
        <w:spacing w:after="0" w:line="360" w:lineRule="auto"/>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lastRenderedPageBreak/>
        <w:t>установление признаков платежеспособности банкнот и монеты Банка России, порядка уничтожения банкнот и монеты Банка России, а также замены поврежденных банкнот и монеты Банка России;</w:t>
      </w:r>
    </w:p>
    <w:p w:rsidR="00064EEC" w:rsidRPr="00064EEC" w:rsidRDefault="00064EEC" w:rsidP="00064EEC">
      <w:pPr>
        <w:numPr>
          <w:ilvl w:val="0"/>
          <w:numId w:val="9"/>
        </w:numPr>
        <w:spacing w:after="0" w:line="360" w:lineRule="auto"/>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определение порядка ведения кассовых операций.</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Первая из указанных функций Банка России непосредственно связана с </w:t>
      </w:r>
      <w:r w:rsidRPr="00064EEC">
        <w:rPr>
          <w:rFonts w:ascii="Times New Roman" w:eastAsia="Times New Roman" w:hAnsi="Times New Roman" w:cs="Times New Roman"/>
          <w:b/>
          <w:bCs/>
          <w:color w:val="000000"/>
          <w:sz w:val="28"/>
          <w:szCs w:val="28"/>
        </w:rPr>
        <w:t>выпуском в хозяйственный оборот</w:t>
      </w:r>
      <w:r w:rsidRPr="00064EEC">
        <w:rPr>
          <w:rFonts w:ascii="Times New Roman" w:eastAsia="Times New Roman" w:hAnsi="Times New Roman" w:cs="Times New Roman"/>
          <w:color w:val="000000"/>
          <w:sz w:val="28"/>
          <w:szCs w:val="28"/>
        </w:rPr>
        <w:t> банкнот и монеты как законных платежных средств в наличной форме, причем выпуск наличных денег в хозяйственный оборот может и не сопровождаться ростом денежной массы.</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Под </w:t>
      </w:r>
      <w:bookmarkStart w:id="5" w:name="keyword2"/>
      <w:bookmarkEnd w:id="5"/>
      <w:r w:rsidRPr="00064EEC">
        <w:rPr>
          <w:rFonts w:ascii="Times New Roman" w:eastAsia="Times New Roman" w:hAnsi="Times New Roman" w:cs="Times New Roman"/>
          <w:b/>
          <w:bCs/>
          <w:i/>
          <w:iCs/>
          <w:color w:val="000000"/>
          <w:sz w:val="28"/>
          <w:szCs w:val="28"/>
        </w:rPr>
        <w:t>собственно денежной эмиссией</w:t>
      </w:r>
      <w:r w:rsidRPr="00064EEC">
        <w:rPr>
          <w:rFonts w:ascii="Times New Roman" w:eastAsia="Times New Roman" w:hAnsi="Times New Roman" w:cs="Times New Roman"/>
          <w:color w:val="000000"/>
          <w:sz w:val="28"/>
          <w:szCs w:val="28"/>
        </w:rPr>
        <w:t> понимается выпуск в обращение дополнительного количества денежных знаков и платежных средств, приводящий к росту денежной массы.</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Эмиссию банкнот и монет осуществляют центральные банки и казначейства, обладающие эмиссионным правом. Банкноты и монета по своей экономической сути являются обязательствами этих эмитентов.</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Если в прошлом надежность наличных денег обеспечивалась товарной стоимостью металла, из которого они были изготовлены, государственной гарантией размена на драгоценные металлы по официально установленному курсу, то в настоящее время банкноты и монеты Банка России отнесены федеральным законом к безусловным обязательствам Банка России и обеспечиваются всеми его активами.</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В статье 30 Федерального закона "О Центральном Банке Российской Федерации (Банке России)" записано: "...Банкноты и монета Банка России обязательны к приему по нарицательной стоимости при всех видах платежей, для зачисления на счета, во вклады и для перевода на всей территории Российской Федерации".</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Другие статьи этого Закона также определяют обязательственную природу банкнот и монеты:</w:t>
      </w:r>
    </w:p>
    <w:p w:rsidR="00064EEC" w:rsidRPr="00064EEC" w:rsidRDefault="00064EEC" w:rsidP="00064EEC">
      <w:pPr>
        <w:numPr>
          <w:ilvl w:val="0"/>
          <w:numId w:val="10"/>
        </w:numPr>
        <w:spacing w:after="0" w:line="360" w:lineRule="auto"/>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"Банк России ... монопольно осуществляет эмиссию наличных денег и организует наличное денежное обращение" (ст. 4);</w:t>
      </w:r>
    </w:p>
    <w:p w:rsidR="00064EEC" w:rsidRPr="00064EEC" w:rsidRDefault="00064EEC" w:rsidP="00064EEC">
      <w:pPr>
        <w:numPr>
          <w:ilvl w:val="0"/>
          <w:numId w:val="10"/>
        </w:numPr>
        <w:spacing w:after="0" w:line="360" w:lineRule="auto"/>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lastRenderedPageBreak/>
        <w:t>"Банкноты и монета Банка России не могут быть объявлены недействительными (утратившими силу законного средства платежа), если не установлен достаточно продолжительный срок их обмена на банкноты и монету нового образца. Не допускаются какие-либо ограничения в отношении сумм или субъектов обмена" (ст. 31);</w:t>
      </w:r>
    </w:p>
    <w:p w:rsidR="00064EEC" w:rsidRPr="00064EEC" w:rsidRDefault="00064EEC" w:rsidP="00064EEC">
      <w:pPr>
        <w:numPr>
          <w:ilvl w:val="0"/>
          <w:numId w:val="10"/>
        </w:numPr>
        <w:spacing w:after="0" w:line="360" w:lineRule="auto"/>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"Банк России без ограничений обменивает ветхие и поврежденные банкноты в соответствии с установленными им правилами" (ст. 32);</w:t>
      </w:r>
    </w:p>
    <w:p w:rsidR="00064EEC" w:rsidRPr="00064EEC" w:rsidRDefault="00064EEC" w:rsidP="00064EEC">
      <w:pPr>
        <w:numPr>
          <w:ilvl w:val="0"/>
          <w:numId w:val="10"/>
        </w:numPr>
        <w:spacing w:after="0" w:line="360" w:lineRule="auto"/>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"Совет директоров принимает решение о выпуске в обращение новых банкнот и монеты Банка России, об изъятии из обращения банкнот и монеты Банка России старого образца, утверждает номиналы и образцы новых денежных знаков. Описание новых денежных знаков публикуется в средствах массовой информации" (ст. 33).</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Наличные денежные средства вместе с резервами коммерческих банков образуют денежную базу в экономике. Они отражаются в пассиве баланса центрального банка.</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Банкноты центрального банка, как правило, имеют обеспечение в форме его активов. Основными статьями активов, обеспечивающих выпуск банкнот в обращение, являются официальные валютные резервы, государственные и прочие ценные бумаги в активах центрального банка, кредиты банковским институтам, предоставленные под залог ценных бумаг, т.е. эмиссия наличных бумажных денег носит сегодня фидуциарный характер.</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В различных странах вопрос обеспечения банковской эмиссии решается по-разному: в одних - определяются характер обеспечения и (следовательно) косвенные пределы денежной эмиссии, в других - оговариваются пределы фидуциарной эмиссии.</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 xml:space="preserve">Центральный банк фактически платит банкнотами, которые сам же создает, когда расплачивается требованиями на себя. Сегодня нет никакого законодательно установленного норматива обмена этих обязательств центрального банка, например, на золото и другие драгоценные металлы. В принципе, банкноты могли бы выпускаться в неограниченном количестве. Тем не </w:t>
      </w:r>
      <w:r w:rsidRPr="00064EEC">
        <w:rPr>
          <w:rFonts w:ascii="Times New Roman" w:eastAsia="Times New Roman" w:hAnsi="Times New Roman" w:cs="Times New Roman"/>
          <w:color w:val="000000"/>
          <w:sz w:val="28"/>
          <w:szCs w:val="28"/>
        </w:rPr>
        <w:lastRenderedPageBreak/>
        <w:t>менее существуют косвенные границы, которые определяются задачами, поставленными перед центральным банком, и его функциями: основная конституционная задача Банка России заключается в обеспечении устойчивого функционирования национальной валюты. Исходя из этих ограничений, центральный банк предоставляет коммерческим банкам денежные средства лишь в ограниченном количестве - в пределах поставленных целей денежной программы.</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Центральный банк, в конечном счете, берет на себя обязательство увязывать эмиссию банкнот с процессом производства и обмена товаров и услуг или не выпускать такого количества банкнот, на которые владельцы товаров, исполнители работ и услуг не согласны обменивать свои собственные активы. Необходимость обслуживания товарооборота фактически означает, что новые выпуски наличных денег могут осуществляться либо для замены физически износившихся банкнот, либо под рост национального богатства.</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Вместе с тем при всей важности наличной денежной эмиссии она является вторичной, производной от безналичной. Значительная часть современных денег как платежных средств создается безналично на основе кредитных операций коммерческих банков, которые выступают, собственно, эмитентами дополнительных платежных средств.</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Наличные деньги, эмитируемые центральным банком, поступают в обращение и изымаются из него через систему коммерческих банков при выполнении последними расчетно-кассовых и кредитных операций.</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 xml:space="preserve">Центральный банк выступает банком для кредитных организаций, через которые эмитированные деньги непосредственно поступают в обращение. Центральный банк передает из оборотной кассы РКЦ в кассу коммерческого банка денежные знаки против остатка средств коммерческого банка на корреспондентском счете в центральном банке. Клиент получает наличные деньги из кассы коммерческого банка, в котором открыт счет или депозит, против остатка средств на соответствующих счетах. Такой остаток средств может образовываться первоначально и в результате получения ссуды. Предоставление </w:t>
      </w:r>
      <w:r w:rsidRPr="00064EEC">
        <w:rPr>
          <w:rFonts w:ascii="Times New Roman" w:eastAsia="Times New Roman" w:hAnsi="Times New Roman" w:cs="Times New Roman"/>
          <w:color w:val="000000"/>
          <w:sz w:val="28"/>
          <w:szCs w:val="28"/>
        </w:rPr>
        <w:lastRenderedPageBreak/>
        <w:t>ссуды, в результате чего у клиента образовался остаток средств на счете, представляет собой депозитную эмиссию, осуществляемую коммерческими банками. То есть деятельность эмиссионного (центрального) банка составляет лишь часть процесса выпуска наличных денег в обращение, другая часть этого процесса происходит при участии коммерческого банка.</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Организация наличного денежного обращения требует от центрального банка серьезных материальных затрат. Они охватывают широкий спектр мероприятий - от использования новейших достижений техники в процессе изготовления денежных знаков до применения новейших технологий их обработки в процессе оборота, контроля количества и качества денежных знаков, изъятия из обращения негодных денежных знаков и их утилизации с соблюдением экологических требований.</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 xml:space="preserve">Предоставление банкнот для платежного оборота в стране является для любого центрального банка технически сложным процессом. Центральные банки занимаются не только производством банкнот, но и их дизайном. Например, иконография современных российских бумажных денежных знаков предполагает изображение российских городов: </w:t>
      </w:r>
      <w:r w:rsidRPr="00064EEC">
        <w:rPr>
          <w:rFonts w:ascii="Times New Roman" w:eastAsia="Times New Roman" w:hAnsi="Times New Roman" w:cs="Times New Roman"/>
          <w:color w:val="000000"/>
          <w:sz w:val="28"/>
          <w:szCs w:val="28"/>
          <w:highlight w:val="yellow"/>
        </w:rPr>
        <w:t>на билете Банка России достоинством 10 руб. - изображение Красноярска, 50 руб. - Санкт-Петербурга, купюра достоинством 100 руб. украшена московской символикой - квадрига на портике Большого театра (лицевая сторона) и общий вид самого театра (обратная сторона), 500 руб. - памятником Петру I в Архангельске, на купюре достоинством 1000 руб. - изображение г. Ярославля.</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Центральные банки уделяют большое внимание долговечности банкнот и разработке способов защиты их от подделки. Банкноты как средство обращения и платежа имеют свой срок хождения. Степень их износа зависит от уровня культуры их использования в качестве платежного средства, сферой обращения, местом хранения. Банкноты выпускаются строго определенного достоинства и на особой бумаге.</w:t>
      </w:r>
    </w:p>
    <w:p w:rsidR="00064EEC" w:rsidRPr="00064EEC" w:rsidRDefault="00064EEC" w:rsidP="00064EEC">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064EEC">
        <w:rPr>
          <w:rFonts w:ascii="Times New Roman" w:eastAsia="Times New Roman" w:hAnsi="Times New Roman" w:cs="Times New Roman"/>
          <w:color w:val="000000"/>
          <w:sz w:val="28"/>
          <w:szCs w:val="28"/>
        </w:rPr>
        <w:t xml:space="preserve">При изготовлении и разработке банкнот на первом месте стоит защита от подделок. Наряду с отличительными знаками (вид бумаги, пунктирная </w:t>
      </w:r>
      <w:r w:rsidRPr="00064EEC">
        <w:rPr>
          <w:rFonts w:ascii="Times New Roman" w:eastAsia="Times New Roman" w:hAnsi="Times New Roman" w:cs="Times New Roman"/>
          <w:color w:val="000000"/>
          <w:sz w:val="28"/>
          <w:szCs w:val="28"/>
        </w:rPr>
        <w:lastRenderedPageBreak/>
        <w:t>металлическая нить, проверочный регистр и др.) банкноты содержат дополнительные невидимые приметы, различаемые только при помощи специального оборудования. В этом смысле ценность банкнот как платежного средства выше ценности бумаги, на которой они напечатаны.</w:t>
      </w:r>
    </w:p>
    <w:sectPr w:rsidR="00064EEC" w:rsidRPr="00064EEC" w:rsidSect="0097474D">
      <w:headerReference w:type="default" r:id="rId8"/>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66E" w:rsidRDefault="0035266E" w:rsidP="0035266E">
      <w:pPr>
        <w:spacing w:after="0" w:line="240" w:lineRule="auto"/>
      </w:pPr>
      <w:r>
        <w:separator/>
      </w:r>
    </w:p>
  </w:endnote>
  <w:endnote w:type="continuationSeparator" w:id="0">
    <w:p w:rsidR="0035266E" w:rsidRDefault="0035266E" w:rsidP="0035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66E" w:rsidRDefault="0035266E" w:rsidP="0035266E">
      <w:pPr>
        <w:spacing w:after="0" w:line="240" w:lineRule="auto"/>
      </w:pPr>
      <w:r>
        <w:separator/>
      </w:r>
    </w:p>
  </w:footnote>
  <w:footnote w:type="continuationSeparator" w:id="0">
    <w:p w:rsidR="0035266E" w:rsidRDefault="0035266E" w:rsidP="00352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66E" w:rsidRDefault="0035266E">
    <w:pPr>
      <w:pStyle w:val="aa"/>
    </w:pPr>
    <w:r>
      <w:t>17 октября 2020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514"/>
    <w:multiLevelType w:val="multilevel"/>
    <w:tmpl w:val="4882077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23C1C"/>
    <w:multiLevelType w:val="multilevel"/>
    <w:tmpl w:val="58BC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C70C1"/>
    <w:multiLevelType w:val="multilevel"/>
    <w:tmpl w:val="BD3C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922D5"/>
    <w:multiLevelType w:val="hybridMultilevel"/>
    <w:tmpl w:val="CF52FA52"/>
    <w:lvl w:ilvl="0" w:tplc="0CD226F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F426804"/>
    <w:multiLevelType w:val="hybridMultilevel"/>
    <w:tmpl w:val="2982D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4F21E0"/>
    <w:multiLevelType w:val="multilevel"/>
    <w:tmpl w:val="86A4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91C61"/>
    <w:multiLevelType w:val="hybridMultilevel"/>
    <w:tmpl w:val="575A8E7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3217231"/>
    <w:multiLevelType w:val="multilevel"/>
    <w:tmpl w:val="3E24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C2708"/>
    <w:multiLevelType w:val="multilevel"/>
    <w:tmpl w:val="4B92B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BA5E34"/>
    <w:multiLevelType w:val="multilevel"/>
    <w:tmpl w:val="73B6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F098B"/>
    <w:multiLevelType w:val="hybridMultilevel"/>
    <w:tmpl w:val="3022E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534B25"/>
    <w:multiLevelType w:val="multilevel"/>
    <w:tmpl w:val="42AC1EDA"/>
    <w:lvl w:ilvl="0">
      <w:start w:val="1"/>
      <w:numFmt w:val="decimal"/>
      <w:lvlText w:val="%1."/>
      <w:lvlJc w:val="left"/>
      <w:pPr>
        <w:tabs>
          <w:tab w:val="num" w:pos="2061"/>
        </w:tabs>
        <w:ind w:left="2061" w:hanging="360"/>
      </w:pPr>
    </w:lvl>
    <w:lvl w:ilvl="1" w:tentative="1">
      <w:start w:val="1"/>
      <w:numFmt w:val="decimal"/>
      <w:lvlText w:val="%2."/>
      <w:lvlJc w:val="left"/>
      <w:pPr>
        <w:tabs>
          <w:tab w:val="num" w:pos="2781"/>
        </w:tabs>
        <w:ind w:left="2781" w:hanging="360"/>
      </w:pPr>
    </w:lvl>
    <w:lvl w:ilvl="2" w:tentative="1">
      <w:start w:val="1"/>
      <w:numFmt w:val="decimal"/>
      <w:lvlText w:val="%3."/>
      <w:lvlJc w:val="left"/>
      <w:pPr>
        <w:tabs>
          <w:tab w:val="num" w:pos="3501"/>
        </w:tabs>
        <w:ind w:left="3501" w:hanging="360"/>
      </w:pPr>
    </w:lvl>
    <w:lvl w:ilvl="3" w:tentative="1">
      <w:start w:val="1"/>
      <w:numFmt w:val="decimal"/>
      <w:lvlText w:val="%4."/>
      <w:lvlJc w:val="left"/>
      <w:pPr>
        <w:tabs>
          <w:tab w:val="num" w:pos="4221"/>
        </w:tabs>
        <w:ind w:left="4221" w:hanging="360"/>
      </w:pPr>
    </w:lvl>
    <w:lvl w:ilvl="4" w:tentative="1">
      <w:start w:val="1"/>
      <w:numFmt w:val="decimal"/>
      <w:lvlText w:val="%5."/>
      <w:lvlJc w:val="left"/>
      <w:pPr>
        <w:tabs>
          <w:tab w:val="num" w:pos="4941"/>
        </w:tabs>
        <w:ind w:left="4941" w:hanging="360"/>
      </w:pPr>
    </w:lvl>
    <w:lvl w:ilvl="5" w:tentative="1">
      <w:start w:val="1"/>
      <w:numFmt w:val="decimal"/>
      <w:lvlText w:val="%6."/>
      <w:lvlJc w:val="left"/>
      <w:pPr>
        <w:tabs>
          <w:tab w:val="num" w:pos="5661"/>
        </w:tabs>
        <w:ind w:left="5661" w:hanging="360"/>
      </w:pPr>
    </w:lvl>
    <w:lvl w:ilvl="6" w:tentative="1">
      <w:start w:val="1"/>
      <w:numFmt w:val="decimal"/>
      <w:lvlText w:val="%7."/>
      <w:lvlJc w:val="left"/>
      <w:pPr>
        <w:tabs>
          <w:tab w:val="num" w:pos="6381"/>
        </w:tabs>
        <w:ind w:left="6381" w:hanging="360"/>
      </w:pPr>
    </w:lvl>
    <w:lvl w:ilvl="7" w:tentative="1">
      <w:start w:val="1"/>
      <w:numFmt w:val="decimal"/>
      <w:lvlText w:val="%8."/>
      <w:lvlJc w:val="left"/>
      <w:pPr>
        <w:tabs>
          <w:tab w:val="num" w:pos="7101"/>
        </w:tabs>
        <w:ind w:left="7101" w:hanging="360"/>
      </w:pPr>
    </w:lvl>
    <w:lvl w:ilvl="8" w:tentative="1">
      <w:start w:val="1"/>
      <w:numFmt w:val="decimal"/>
      <w:lvlText w:val="%9."/>
      <w:lvlJc w:val="left"/>
      <w:pPr>
        <w:tabs>
          <w:tab w:val="num" w:pos="7821"/>
        </w:tabs>
        <w:ind w:left="7821" w:hanging="360"/>
      </w:pPr>
    </w:lvl>
  </w:abstractNum>
  <w:abstractNum w:abstractNumId="12" w15:restartNumberingAfterBreak="0">
    <w:nsid w:val="3F141116"/>
    <w:multiLevelType w:val="hybridMultilevel"/>
    <w:tmpl w:val="94F624B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F170642"/>
    <w:multiLevelType w:val="multilevel"/>
    <w:tmpl w:val="9278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5048E"/>
    <w:multiLevelType w:val="multilevel"/>
    <w:tmpl w:val="C33A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77667"/>
    <w:multiLevelType w:val="multilevel"/>
    <w:tmpl w:val="4882077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51761"/>
    <w:multiLevelType w:val="multilevel"/>
    <w:tmpl w:val="CE960E90"/>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7" w15:restartNumberingAfterBreak="0">
    <w:nsid w:val="4A4C05E8"/>
    <w:multiLevelType w:val="multilevel"/>
    <w:tmpl w:val="889E8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453E30"/>
    <w:multiLevelType w:val="multilevel"/>
    <w:tmpl w:val="10200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7D22CC"/>
    <w:multiLevelType w:val="multilevel"/>
    <w:tmpl w:val="44A8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A36A53"/>
    <w:multiLevelType w:val="multilevel"/>
    <w:tmpl w:val="95CC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E25B24"/>
    <w:multiLevelType w:val="multilevel"/>
    <w:tmpl w:val="580C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91742"/>
    <w:multiLevelType w:val="multilevel"/>
    <w:tmpl w:val="EDB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623046"/>
    <w:multiLevelType w:val="multilevel"/>
    <w:tmpl w:val="72F4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33899"/>
    <w:multiLevelType w:val="multilevel"/>
    <w:tmpl w:val="22825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B10844"/>
    <w:multiLevelType w:val="multilevel"/>
    <w:tmpl w:val="9A9E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24736D"/>
    <w:multiLevelType w:val="multilevel"/>
    <w:tmpl w:val="B504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F0400"/>
    <w:multiLevelType w:val="multilevel"/>
    <w:tmpl w:val="4882077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405411"/>
    <w:multiLevelType w:val="multilevel"/>
    <w:tmpl w:val="CC00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1"/>
  </w:num>
  <w:num w:numId="3">
    <w:abstractNumId w:val="6"/>
  </w:num>
  <w:num w:numId="4">
    <w:abstractNumId w:val="4"/>
  </w:num>
  <w:num w:numId="5">
    <w:abstractNumId w:val="12"/>
  </w:num>
  <w:num w:numId="6">
    <w:abstractNumId w:val="2"/>
  </w:num>
  <w:num w:numId="7">
    <w:abstractNumId w:val="3"/>
  </w:num>
  <w:num w:numId="8">
    <w:abstractNumId w:val="22"/>
  </w:num>
  <w:num w:numId="9">
    <w:abstractNumId w:val="15"/>
  </w:num>
  <w:num w:numId="10">
    <w:abstractNumId w:val="0"/>
  </w:num>
  <w:num w:numId="11">
    <w:abstractNumId w:val="26"/>
  </w:num>
  <w:num w:numId="12">
    <w:abstractNumId w:val="1"/>
  </w:num>
  <w:num w:numId="13">
    <w:abstractNumId w:val="14"/>
  </w:num>
  <w:num w:numId="14">
    <w:abstractNumId w:val="13"/>
  </w:num>
  <w:num w:numId="15">
    <w:abstractNumId w:val="23"/>
  </w:num>
  <w:num w:numId="16">
    <w:abstractNumId w:val="7"/>
  </w:num>
  <w:num w:numId="17">
    <w:abstractNumId w:val="19"/>
  </w:num>
  <w:num w:numId="18">
    <w:abstractNumId w:val="21"/>
  </w:num>
  <w:num w:numId="19">
    <w:abstractNumId w:val="20"/>
  </w:num>
  <w:num w:numId="20">
    <w:abstractNumId w:val="9"/>
  </w:num>
  <w:num w:numId="21">
    <w:abstractNumId w:val="25"/>
  </w:num>
  <w:num w:numId="22">
    <w:abstractNumId w:val="5"/>
  </w:num>
  <w:num w:numId="23">
    <w:abstractNumId w:val="18"/>
  </w:num>
  <w:num w:numId="24">
    <w:abstractNumId w:val="17"/>
  </w:num>
  <w:num w:numId="25">
    <w:abstractNumId w:val="24"/>
  </w:num>
  <w:num w:numId="26">
    <w:abstractNumId w:val="8"/>
  </w:num>
  <w:num w:numId="27">
    <w:abstractNumId w:val="28"/>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06AEE"/>
    <w:rsid w:val="00021983"/>
    <w:rsid w:val="00022B1F"/>
    <w:rsid w:val="00024C22"/>
    <w:rsid w:val="000261FE"/>
    <w:rsid w:val="000269F3"/>
    <w:rsid w:val="00043D96"/>
    <w:rsid w:val="00043F39"/>
    <w:rsid w:val="00044279"/>
    <w:rsid w:val="00044336"/>
    <w:rsid w:val="00052BED"/>
    <w:rsid w:val="00064EEC"/>
    <w:rsid w:val="00075ADD"/>
    <w:rsid w:val="00077FEF"/>
    <w:rsid w:val="00080397"/>
    <w:rsid w:val="000822A9"/>
    <w:rsid w:val="00087E21"/>
    <w:rsid w:val="0009038C"/>
    <w:rsid w:val="000A47CC"/>
    <w:rsid w:val="000A71F5"/>
    <w:rsid w:val="000C3ED8"/>
    <w:rsid w:val="000C4245"/>
    <w:rsid w:val="000E50B3"/>
    <w:rsid w:val="000F3E6D"/>
    <w:rsid w:val="000F4517"/>
    <w:rsid w:val="0010786C"/>
    <w:rsid w:val="00115261"/>
    <w:rsid w:val="00115C33"/>
    <w:rsid w:val="001218A0"/>
    <w:rsid w:val="00136BFA"/>
    <w:rsid w:val="00141B1D"/>
    <w:rsid w:val="001422C3"/>
    <w:rsid w:val="00142717"/>
    <w:rsid w:val="001505DE"/>
    <w:rsid w:val="00154321"/>
    <w:rsid w:val="00172467"/>
    <w:rsid w:val="00180B26"/>
    <w:rsid w:val="00182A88"/>
    <w:rsid w:val="00190CA8"/>
    <w:rsid w:val="00190E2A"/>
    <w:rsid w:val="00195030"/>
    <w:rsid w:val="001A00F7"/>
    <w:rsid w:val="001B49A1"/>
    <w:rsid w:val="001B74C7"/>
    <w:rsid w:val="001D06CB"/>
    <w:rsid w:val="001E0367"/>
    <w:rsid w:val="001E0ECA"/>
    <w:rsid w:val="002025D8"/>
    <w:rsid w:val="00207658"/>
    <w:rsid w:val="00224917"/>
    <w:rsid w:val="00226F18"/>
    <w:rsid w:val="00236CD7"/>
    <w:rsid w:val="00242028"/>
    <w:rsid w:val="0024257A"/>
    <w:rsid w:val="00251E7D"/>
    <w:rsid w:val="00254F67"/>
    <w:rsid w:val="002653DF"/>
    <w:rsid w:val="00280C35"/>
    <w:rsid w:val="00281400"/>
    <w:rsid w:val="0028217D"/>
    <w:rsid w:val="00283127"/>
    <w:rsid w:val="00294344"/>
    <w:rsid w:val="002B2118"/>
    <w:rsid w:val="002C428C"/>
    <w:rsid w:val="002C73D9"/>
    <w:rsid w:val="002C7623"/>
    <w:rsid w:val="002C7E15"/>
    <w:rsid w:val="002E1EC2"/>
    <w:rsid w:val="002E4519"/>
    <w:rsid w:val="002E4885"/>
    <w:rsid w:val="002E7395"/>
    <w:rsid w:val="002F1DAF"/>
    <w:rsid w:val="002F2CD8"/>
    <w:rsid w:val="00301A64"/>
    <w:rsid w:val="00307BDD"/>
    <w:rsid w:val="003231D3"/>
    <w:rsid w:val="00323EF4"/>
    <w:rsid w:val="0035266E"/>
    <w:rsid w:val="00352CFA"/>
    <w:rsid w:val="003560E3"/>
    <w:rsid w:val="00356200"/>
    <w:rsid w:val="00357CB0"/>
    <w:rsid w:val="0036347E"/>
    <w:rsid w:val="00367B26"/>
    <w:rsid w:val="00373F60"/>
    <w:rsid w:val="00382EA3"/>
    <w:rsid w:val="003A537F"/>
    <w:rsid w:val="003E7F5D"/>
    <w:rsid w:val="003F6984"/>
    <w:rsid w:val="0040225F"/>
    <w:rsid w:val="00406EB6"/>
    <w:rsid w:val="00410F07"/>
    <w:rsid w:val="00411FE3"/>
    <w:rsid w:val="004155FC"/>
    <w:rsid w:val="00444678"/>
    <w:rsid w:val="0045181B"/>
    <w:rsid w:val="0045307C"/>
    <w:rsid w:val="00453370"/>
    <w:rsid w:val="00456B54"/>
    <w:rsid w:val="00464491"/>
    <w:rsid w:val="00470921"/>
    <w:rsid w:val="00470AED"/>
    <w:rsid w:val="004804FA"/>
    <w:rsid w:val="0048208E"/>
    <w:rsid w:val="004A0A61"/>
    <w:rsid w:val="004A4DE6"/>
    <w:rsid w:val="004B274E"/>
    <w:rsid w:val="004B54A8"/>
    <w:rsid w:val="004C5ED7"/>
    <w:rsid w:val="004D5FC4"/>
    <w:rsid w:val="004E424C"/>
    <w:rsid w:val="00505214"/>
    <w:rsid w:val="00512653"/>
    <w:rsid w:val="0051406A"/>
    <w:rsid w:val="00516BD5"/>
    <w:rsid w:val="00516BEE"/>
    <w:rsid w:val="00517AC6"/>
    <w:rsid w:val="00532255"/>
    <w:rsid w:val="00533253"/>
    <w:rsid w:val="00550445"/>
    <w:rsid w:val="00555820"/>
    <w:rsid w:val="005578E4"/>
    <w:rsid w:val="005625F4"/>
    <w:rsid w:val="00573BDD"/>
    <w:rsid w:val="005774AB"/>
    <w:rsid w:val="00582A90"/>
    <w:rsid w:val="005952CE"/>
    <w:rsid w:val="005A0DA4"/>
    <w:rsid w:val="005E7B0D"/>
    <w:rsid w:val="005F61FE"/>
    <w:rsid w:val="00613E9B"/>
    <w:rsid w:val="00617649"/>
    <w:rsid w:val="00622E6B"/>
    <w:rsid w:val="006307CD"/>
    <w:rsid w:val="00636704"/>
    <w:rsid w:val="00652150"/>
    <w:rsid w:val="006564CA"/>
    <w:rsid w:val="0065731D"/>
    <w:rsid w:val="00660201"/>
    <w:rsid w:val="006623F4"/>
    <w:rsid w:val="006702A4"/>
    <w:rsid w:val="0067515E"/>
    <w:rsid w:val="00680A32"/>
    <w:rsid w:val="006943BC"/>
    <w:rsid w:val="006A26AA"/>
    <w:rsid w:val="006B4913"/>
    <w:rsid w:val="006B7F1E"/>
    <w:rsid w:val="006C7818"/>
    <w:rsid w:val="006D1288"/>
    <w:rsid w:val="006E178D"/>
    <w:rsid w:val="006E39C1"/>
    <w:rsid w:val="006E5488"/>
    <w:rsid w:val="007075EF"/>
    <w:rsid w:val="007117F0"/>
    <w:rsid w:val="00712ACE"/>
    <w:rsid w:val="00713ADE"/>
    <w:rsid w:val="00717ACC"/>
    <w:rsid w:val="00720B20"/>
    <w:rsid w:val="00742C60"/>
    <w:rsid w:val="00755E68"/>
    <w:rsid w:val="0076476C"/>
    <w:rsid w:val="00770B45"/>
    <w:rsid w:val="007725E0"/>
    <w:rsid w:val="00793622"/>
    <w:rsid w:val="00797335"/>
    <w:rsid w:val="007A3E42"/>
    <w:rsid w:val="007A3FE1"/>
    <w:rsid w:val="007B4D38"/>
    <w:rsid w:val="007C3961"/>
    <w:rsid w:val="007C7AAC"/>
    <w:rsid w:val="007D5F1B"/>
    <w:rsid w:val="007E73B6"/>
    <w:rsid w:val="007F408A"/>
    <w:rsid w:val="00801682"/>
    <w:rsid w:val="0080736C"/>
    <w:rsid w:val="00807B19"/>
    <w:rsid w:val="00812E09"/>
    <w:rsid w:val="00815AB2"/>
    <w:rsid w:val="0082371B"/>
    <w:rsid w:val="00830440"/>
    <w:rsid w:val="00830FB0"/>
    <w:rsid w:val="00831BAA"/>
    <w:rsid w:val="00832AF0"/>
    <w:rsid w:val="00834BFD"/>
    <w:rsid w:val="00845544"/>
    <w:rsid w:val="0085472E"/>
    <w:rsid w:val="00857A3E"/>
    <w:rsid w:val="00877B51"/>
    <w:rsid w:val="0088728B"/>
    <w:rsid w:val="00895272"/>
    <w:rsid w:val="008A1AF3"/>
    <w:rsid w:val="008A30C7"/>
    <w:rsid w:val="008B231B"/>
    <w:rsid w:val="008C2D9D"/>
    <w:rsid w:val="008D2A14"/>
    <w:rsid w:val="008D6414"/>
    <w:rsid w:val="008D6F58"/>
    <w:rsid w:val="00900BB8"/>
    <w:rsid w:val="00903F91"/>
    <w:rsid w:val="0090550B"/>
    <w:rsid w:val="00911947"/>
    <w:rsid w:val="00912DDB"/>
    <w:rsid w:val="009344C8"/>
    <w:rsid w:val="00950ED6"/>
    <w:rsid w:val="00961CA6"/>
    <w:rsid w:val="00964B5D"/>
    <w:rsid w:val="00973D75"/>
    <w:rsid w:val="0097474D"/>
    <w:rsid w:val="0097694E"/>
    <w:rsid w:val="00985782"/>
    <w:rsid w:val="00993BC3"/>
    <w:rsid w:val="009B03C2"/>
    <w:rsid w:val="009B183A"/>
    <w:rsid w:val="009B3551"/>
    <w:rsid w:val="009C5996"/>
    <w:rsid w:val="009D359C"/>
    <w:rsid w:val="009D6122"/>
    <w:rsid w:val="009E00B0"/>
    <w:rsid w:val="009E3E6E"/>
    <w:rsid w:val="009E4B90"/>
    <w:rsid w:val="009E72FB"/>
    <w:rsid w:val="009F415E"/>
    <w:rsid w:val="00A00265"/>
    <w:rsid w:val="00A0077A"/>
    <w:rsid w:val="00A05F09"/>
    <w:rsid w:val="00A06AEE"/>
    <w:rsid w:val="00A15CF9"/>
    <w:rsid w:val="00A161B7"/>
    <w:rsid w:val="00A20ECB"/>
    <w:rsid w:val="00A23D42"/>
    <w:rsid w:val="00A2516C"/>
    <w:rsid w:val="00A37CA5"/>
    <w:rsid w:val="00A434BA"/>
    <w:rsid w:val="00A450BE"/>
    <w:rsid w:val="00A479F3"/>
    <w:rsid w:val="00A533FE"/>
    <w:rsid w:val="00A540ED"/>
    <w:rsid w:val="00A6165D"/>
    <w:rsid w:val="00A65972"/>
    <w:rsid w:val="00A764B8"/>
    <w:rsid w:val="00AA5595"/>
    <w:rsid w:val="00AA562F"/>
    <w:rsid w:val="00AB3CFC"/>
    <w:rsid w:val="00AC20AC"/>
    <w:rsid w:val="00AC2F31"/>
    <w:rsid w:val="00AE02E7"/>
    <w:rsid w:val="00AE5DA4"/>
    <w:rsid w:val="00B00CF1"/>
    <w:rsid w:val="00B02BD9"/>
    <w:rsid w:val="00B10D61"/>
    <w:rsid w:val="00B11228"/>
    <w:rsid w:val="00B131B4"/>
    <w:rsid w:val="00B15611"/>
    <w:rsid w:val="00B34B75"/>
    <w:rsid w:val="00B351E8"/>
    <w:rsid w:val="00B42CEF"/>
    <w:rsid w:val="00B6331C"/>
    <w:rsid w:val="00B97D23"/>
    <w:rsid w:val="00BA198F"/>
    <w:rsid w:val="00BA72C9"/>
    <w:rsid w:val="00BB1632"/>
    <w:rsid w:val="00BB22FD"/>
    <w:rsid w:val="00BC54C3"/>
    <w:rsid w:val="00BD5464"/>
    <w:rsid w:val="00BE7932"/>
    <w:rsid w:val="00BE7989"/>
    <w:rsid w:val="00BF7A73"/>
    <w:rsid w:val="00C00656"/>
    <w:rsid w:val="00C1286C"/>
    <w:rsid w:val="00C13FFD"/>
    <w:rsid w:val="00C4761A"/>
    <w:rsid w:val="00C51A6C"/>
    <w:rsid w:val="00C5502B"/>
    <w:rsid w:val="00C62FF4"/>
    <w:rsid w:val="00C64480"/>
    <w:rsid w:val="00C662FC"/>
    <w:rsid w:val="00C72671"/>
    <w:rsid w:val="00C91913"/>
    <w:rsid w:val="00CA0F5F"/>
    <w:rsid w:val="00CC687C"/>
    <w:rsid w:val="00CD0841"/>
    <w:rsid w:val="00CD5477"/>
    <w:rsid w:val="00CE4542"/>
    <w:rsid w:val="00CF43D6"/>
    <w:rsid w:val="00D00FAD"/>
    <w:rsid w:val="00D12F79"/>
    <w:rsid w:val="00D14EE4"/>
    <w:rsid w:val="00D168AD"/>
    <w:rsid w:val="00D258CB"/>
    <w:rsid w:val="00D34DB0"/>
    <w:rsid w:val="00D42F5E"/>
    <w:rsid w:val="00D458AA"/>
    <w:rsid w:val="00D5177A"/>
    <w:rsid w:val="00D6407B"/>
    <w:rsid w:val="00D658A2"/>
    <w:rsid w:val="00D65BB8"/>
    <w:rsid w:val="00D70330"/>
    <w:rsid w:val="00D7444C"/>
    <w:rsid w:val="00DB145F"/>
    <w:rsid w:val="00DD0852"/>
    <w:rsid w:val="00DD1F92"/>
    <w:rsid w:val="00DE1467"/>
    <w:rsid w:val="00DE2D64"/>
    <w:rsid w:val="00DF0016"/>
    <w:rsid w:val="00E100C5"/>
    <w:rsid w:val="00E11B97"/>
    <w:rsid w:val="00E14D52"/>
    <w:rsid w:val="00E2718D"/>
    <w:rsid w:val="00E34660"/>
    <w:rsid w:val="00E43D78"/>
    <w:rsid w:val="00E563B2"/>
    <w:rsid w:val="00E62E1A"/>
    <w:rsid w:val="00E76A50"/>
    <w:rsid w:val="00E77DFD"/>
    <w:rsid w:val="00E86A19"/>
    <w:rsid w:val="00E87EA2"/>
    <w:rsid w:val="00E94D5E"/>
    <w:rsid w:val="00E97708"/>
    <w:rsid w:val="00EA3012"/>
    <w:rsid w:val="00EA607B"/>
    <w:rsid w:val="00EB243E"/>
    <w:rsid w:val="00ED1C1A"/>
    <w:rsid w:val="00ED483F"/>
    <w:rsid w:val="00EE3CD2"/>
    <w:rsid w:val="00F0554B"/>
    <w:rsid w:val="00F05E19"/>
    <w:rsid w:val="00F243B0"/>
    <w:rsid w:val="00F45E63"/>
    <w:rsid w:val="00F471A3"/>
    <w:rsid w:val="00F54E1A"/>
    <w:rsid w:val="00F67AF2"/>
    <w:rsid w:val="00F7087D"/>
    <w:rsid w:val="00F7629B"/>
    <w:rsid w:val="00F76333"/>
    <w:rsid w:val="00F8164A"/>
    <w:rsid w:val="00F85C0F"/>
    <w:rsid w:val="00F916A4"/>
    <w:rsid w:val="00F920CC"/>
    <w:rsid w:val="00F92820"/>
    <w:rsid w:val="00FA5E13"/>
    <w:rsid w:val="00FB2D71"/>
    <w:rsid w:val="00FC3902"/>
    <w:rsid w:val="00FC6E9C"/>
    <w:rsid w:val="00FC734A"/>
    <w:rsid w:val="00FD2D9B"/>
    <w:rsid w:val="00FD6435"/>
    <w:rsid w:val="00FE0C8F"/>
    <w:rsid w:val="00FE3E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88EC2-E6A4-4AF9-BCDC-87504855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D52"/>
  </w:style>
  <w:style w:type="paragraph" w:styleId="1">
    <w:name w:val="heading 1"/>
    <w:basedOn w:val="a"/>
    <w:next w:val="a"/>
    <w:link w:val="10"/>
    <w:uiPriority w:val="9"/>
    <w:qFormat/>
    <w:rsid w:val="00A06A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06A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064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6AE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06AEE"/>
    <w:rPr>
      <w:b/>
      <w:bCs/>
    </w:rPr>
  </w:style>
  <w:style w:type="character" w:customStyle="1" w:styleId="apple-converted-space">
    <w:name w:val="apple-converted-space"/>
    <w:basedOn w:val="a0"/>
    <w:rsid w:val="00A06AEE"/>
  </w:style>
  <w:style w:type="character" w:customStyle="1" w:styleId="30">
    <w:name w:val="Заголовок 3 Знак"/>
    <w:basedOn w:val="a0"/>
    <w:link w:val="3"/>
    <w:uiPriority w:val="9"/>
    <w:rsid w:val="00A06AEE"/>
    <w:rPr>
      <w:rFonts w:ascii="Times New Roman" w:eastAsia="Times New Roman" w:hAnsi="Times New Roman" w:cs="Times New Roman"/>
      <w:b/>
      <w:bCs/>
      <w:sz w:val="27"/>
      <w:szCs w:val="27"/>
    </w:rPr>
  </w:style>
  <w:style w:type="character" w:customStyle="1" w:styleId="10">
    <w:name w:val="Заголовок 1 Знак"/>
    <w:basedOn w:val="a0"/>
    <w:link w:val="1"/>
    <w:uiPriority w:val="9"/>
    <w:rsid w:val="00A06AEE"/>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59"/>
    <w:rsid w:val="00301A6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301A64"/>
    <w:pPr>
      <w:ind w:left="720"/>
      <w:contextualSpacing/>
    </w:pPr>
    <w:rPr>
      <w:rFonts w:eastAsiaTheme="minorHAnsi"/>
      <w:lang w:eastAsia="en-US"/>
    </w:rPr>
  </w:style>
  <w:style w:type="paragraph" w:styleId="a7">
    <w:name w:val="No Spacing"/>
    <w:uiPriority w:val="1"/>
    <w:qFormat/>
    <w:rsid w:val="00301A64"/>
    <w:pPr>
      <w:spacing w:after="0" w:line="240" w:lineRule="auto"/>
    </w:pPr>
    <w:rPr>
      <w:rFonts w:ascii="Calibri" w:eastAsia="Calibri" w:hAnsi="Calibri" w:cs="Times New Roman"/>
      <w:lang w:eastAsia="en-US"/>
    </w:rPr>
  </w:style>
  <w:style w:type="character" w:customStyle="1" w:styleId="11">
    <w:name w:val="Основной текст1"/>
    <w:basedOn w:val="a0"/>
    <w:rsid w:val="00F9282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a8">
    <w:name w:val="Основной текст + Полужирный"/>
    <w:basedOn w:val="a0"/>
    <w:rsid w:val="00F92820"/>
    <w:rPr>
      <w:rFonts w:ascii="Times New Roman" w:eastAsia="Times New Roman" w:hAnsi="Times New Roman" w:cs="Times New Roman"/>
      <w:b/>
      <w:bCs/>
      <w:i w:val="0"/>
      <w:iCs w:val="0"/>
      <w:smallCaps w:val="0"/>
      <w:strike w:val="0"/>
      <w:color w:val="000000"/>
      <w:spacing w:val="0"/>
      <w:w w:val="100"/>
      <w:position w:val="0"/>
      <w:sz w:val="15"/>
      <w:szCs w:val="15"/>
      <w:u w:val="none"/>
      <w:lang w:val="ru-RU"/>
    </w:rPr>
  </w:style>
  <w:style w:type="character" w:customStyle="1" w:styleId="a9">
    <w:name w:val="Основной текст_"/>
    <w:basedOn w:val="a0"/>
    <w:link w:val="31"/>
    <w:rsid w:val="00294344"/>
    <w:rPr>
      <w:rFonts w:ascii="Times New Roman" w:eastAsia="Times New Roman" w:hAnsi="Times New Roman" w:cs="Times New Roman"/>
      <w:sz w:val="15"/>
      <w:szCs w:val="15"/>
      <w:shd w:val="clear" w:color="auto" w:fill="FFFFFF"/>
    </w:rPr>
  </w:style>
  <w:style w:type="character" w:customStyle="1" w:styleId="37pt">
    <w:name w:val="Основной текст (3) + 7 pt;Не полужирный"/>
    <w:basedOn w:val="a0"/>
    <w:rsid w:val="00294344"/>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31">
    <w:name w:val="Основной текст3"/>
    <w:basedOn w:val="a"/>
    <w:link w:val="a9"/>
    <w:rsid w:val="00294344"/>
    <w:pPr>
      <w:widowControl w:val="0"/>
      <w:shd w:val="clear" w:color="auto" w:fill="FFFFFF"/>
      <w:spacing w:after="0" w:line="192" w:lineRule="exact"/>
      <w:jc w:val="both"/>
    </w:pPr>
    <w:rPr>
      <w:rFonts w:ascii="Times New Roman" w:eastAsia="Times New Roman" w:hAnsi="Times New Roman" w:cs="Times New Roman"/>
      <w:sz w:val="15"/>
      <w:szCs w:val="15"/>
    </w:rPr>
  </w:style>
  <w:style w:type="paragraph" w:customStyle="1" w:styleId="ConsPlusTitle">
    <w:name w:val="ConsPlusTitle"/>
    <w:uiPriority w:val="99"/>
    <w:rsid w:val="005625F4"/>
    <w:pPr>
      <w:widowControl w:val="0"/>
      <w:autoSpaceDE w:val="0"/>
      <w:autoSpaceDN w:val="0"/>
      <w:adjustRightInd w:val="0"/>
      <w:spacing w:after="0" w:line="240" w:lineRule="auto"/>
    </w:pPr>
    <w:rPr>
      <w:rFonts w:ascii="Arial" w:hAnsi="Arial" w:cs="Arial"/>
      <w:b/>
      <w:bCs/>
      <w:sz w:val="20"/>
      <w:szCs w:val="20"/>
    </w:rPr>
  </w:style>
  <w:style w:type="character" w:customStyle="1" w:styleId="40">
    <w:name w:val="Заголовок 4 Знак"/>
    <w:basedOn w:val="a0"/>
    <w:link w:val="4"/>
    <w:uiPriority w:val="9"/>
    <w:semiHidden/>
    <w:rsid w:val="00064EEC"/>
    <w:rPr>
      <w:rFonts w:asciiTheme="majorHAnsi" w:eastAsiaTheme="majorEastAsia" w:hAnsiTheme="majorHAnsi" w:cstheme="majorBidi"/>
      <w:i/>
      <w:iCs/>
      <w:color w:val="365F91" w:themeColor="accent1" w:themeShade="BF"/>
    </w:rPr>
  </w:style>
  <w:style w:type="paragraph" w:styleId="aa">
    <w:name w:val="header"/>
    <w:basedOn w:val="a"/>
    <w:link w:val="ab"/>
    <w:uiPriority w:val="99"/>
    <w:unhideWhenUsed/>
    <w:rsid w:val="003526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5266E"/>
  </w:style>
  <w:style w:type="paragraph" w:styleId="ac">
    <w:name w:val="footer"/>
    <w:basedOn w:val="a"/>
    <w:link w:val="ad"/>
    <w:uiPriority w:val="99"/>
    <w:unhideWhenUsed/>
    <w:rsid w:val="003526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52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77806">
      <w:bodyDiv w:val="1"/>
      <w:marLeft w:val="0"/>
      <w:marRight w:val="0"/>
      <w:marTop w:val="0"/>
      <w:marBottom w:val="0"/>
      <w:divBdr>
        <w:top w:val="none" w:sz="0" w:space="0" w:color="auto"/>
        <w:left w:val="none" w:sz="0" w:space="0" w:color="auto"/>
        <w:bottom w:val="none" w:sz="0" w:space="0" w:color="auto"/>
        <w:right w:val="none" w:sz="0" w:space="0" w:color="auto"/>
      </w:divBdr>
      <w:divsChild>
        <w:div w:id="1503349736">
          <w:marLeft w:val="0"/>
          <w:marRight w:val="0"/>
          <w:marTop w:val="0"/>
          <w:marBottom w:val="0"/>
          <w:divBdr>
            <w:top w:val="none" w:sz="0" w:space="0" w:color="auto"/>
            <w:left w:val="none" w:sz="0" w:space="0" w:color="auto"/>
            <w:bottom w:val="none" w:sz="0" w:space="0" w:color="auto"/>
            <w:right w:val="none" w:sz="0" w:space="0" w:color="auto"/>
          </w:divBdr>
        </w:div>
      </w:divsChild>
    </w:div>
    <w:div w:id="1030642322">
      <w:bodyDiv w:val="1"/>
      <w:marLeft w:val="0"/>
      <w:marRight w:val="0"/>
      <w:marTop w:val="0"/>
      <w:marBottom w:val="0"/>
      <w:divBdr>
        <w:top w:val="none" w:sz="0" w:space="0" w:color="auto"/>
        <w:left w:val="none" w:sz="0" w:space="0" w:color="auto"/>
        <w:bottom w:val="none" w:sz="0" w:space="0" w:color="auto"/>
        <w:right w:val="none" w:sz="0" w:space="0" w:color="auto"/>
      </w:divBdr>
    </w:div>
    <w:div w:id="1181553755">
      <w:bodyDiv w:val="1"/>
      <w:marLeft w:val="0"/>
      <w:marRight w:val="0"/>
      <w:marTop w:val="0"/>
      <w:marBottom w:val="0"/>
      <w:divBdr>
        <w:top w:val="none" w:sz="0" w:space="0" w:color="auto"/>
        <w:left w:val="none" w:sz="0" w:space="0" w:color="auto"/>
        <w:bottom w:val="none" w:sz="0" w:space="0" w:color="auto"/>
        <w:right w:val="none" w:sz="0" w:space="0" w:color="auto"/>
      </w:divBdr>
    </w:div>
    <w:div w:id="1224104413">
      <w:bodyDiv w:val="1"/>
      <w:marLeft w:val="0"/>
      <w:marRight w:val="0"/>
      <w:marTop w:val="0"/>
      <w:marBottom w:val="0"/>
      <w:divBdr>
        <w:top w:val="none" w:sz="0" w:space="0" w:color="auto"/>
        <w:left w:val="none" w:sz="0" w:space="0" w:color="auto"/>
        <w:bottom w:val="none" w:sz="0" w:space="0" w:color="auto"/>
        <w:right w:val="none" w:sz="0" w:space="0" w:color="auto"/>
      </w:divBdr>
    </w:div>
    <w:div w:id="1358235687">
      <w:bodyDiv w:val="1"/>
      <w:marLeft w:val="0"/>
      <w:marRight w:val="0"/>
      <w:marTop w:val="0"/>
      <w:marBottom w:val="0"/>
      <w:divBdr>
        <w:top w:val="none" w:sz="0" w:space="0" w:color="auto"/>
        <w:left w:val="none" w:sz="0" w:space="0" w:color="auto"/>
        <w:bottom w:val="none" w:sz="0" w:space="0" w:color="auto"/>
        <w:right w:val="none" w:sz="0" w:space="0" w:color="auto"/>
      </w:divBdr>
    </w:div>
    <w:div w:id="18139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D7E4E-9E7B-45A8-B680-260A54EA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1977</Words>
  <Characters>11274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book</cp:lastModifiedBy>
  <cp:revision>2</cp:revision>
  <cp:lastPrinted>2017-10-11T13:29:00Z</cp:lastPrinted>
  <dcterms:created xsi:type="dcterms:W3CDTF">2020-10-17T06:21:00Z</dcterms:created>
  <dcterms:modified xsi:type="dcterms:W3CDTF">2020-10-17T06:21:00Z</dcterms:modified>
</cp:coreProperties>
</file>