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2E" w:rsidRPr="00D13C4D" w:rsidRDefault="0085472E" w:rsidP="00D13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C4D" w:rsidRPr="00D13C4D" w:rsidRDefault="00FB4469" w:rsidP="00D13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95B3D7" w:themeFill="accent1" w:themeFillTint="99"/>
        </w:rPr>
        <w:t>Урок №68</w:t>
      </w:r>
      <w:r w:rsidR="00D13C4D" w:rsidRPr="00D13C4D">
        <w:rPr>
          <w:rFonts w:ascii="Times New Roman" w:hAnsi="Times New Roman" w:cs="Times New Roman"/>
          <w:b/>
          <w:sz w:val="28"/>
          <w:szCs w:val="28"/>
          <w:shd w:val="clear" w:color="auto" w:fill="95B3D7" w:themeFill="accent1" w:themeFillTint="99"/>
        </w:rPr>
        <w:t xml:space="preserve"> Лекция: Система резервных требований</w:t>
      </w:r>
    </w:p>
    <w:p w:rsidR="00D13C4D" w:rsidRPr="00D13C4D" w:rsidRDefault="00D13C4D" w:rsidP="00D1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4D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:rsidR="00D13C4D" w:rsidRPr="00D13C4D" w:rsidRDefault="00D13C4D" w:rsidP="00D1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4D">
        <w:rPr>
          <w:rFonts w:ascii="Times New Roman" w:hAnsi="Times New Roman" w:cs="Times New Roman"/>
          <w:sz w:val="28"/>
          <w:szCs w:val="28"/>
        </w:rPr>
        <w:t>Развитие зарубежных систем обязательного резервирования</w:t>
      </w:r>
    </w:p>
    <w:p w:rsidR="00D13C4D" w:rsidRPr="00D13C4D" w:rsidRDefault="00D13C4D" w:rsidP="00D13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C4D" w:rsidRPr="00D13C4D" w:rsidRDefault="00D13C4D" w:rsidP="00D13C4D">
      <w:pPr>
        <w:pStyle w:val="3"/>
        <w:shd w:val="clear" w:color="auto" w:fill="95B3D7" w:themeFill="accent1" w:themeFillTint="99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D13C4D">
        <w:rPr>
          <w:sz w:val="28"/>
          <w:szCs w:val="28"/>
        </w:rPr>
        <w:tab/>
      </w:r>
      <w:bookmarkStart w:id="0" w:name="_GoBack"/>
      <w:r w:rsidRPr="00D13C4D">
        <w:rPr>
          <w:color w:val="000000"/>
          <w:sz w:val="28"/>
          <w:szCs w:val="28"/>
        </w:rPr>
        <w:t>Развитие зарубежных систем обязательного резервирования</w:t>
      </w:r>
      <w:bookmarkEnd w:id="0"/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обязательного резервирования зарубежных стран за период ее функционирования постоянно совершенствовалась под влиянием изменений макроэкономической ситуации, развития банковской системы и инструментов ее взаимодействия с внешней средой.</w:t>
      </w:r>
    </w:p>
    <w:p w:rsidR="00D13C4D" w:rsidRPr="00D13C4D" w:rsidRDefault="00D13C4D" w:rsidP="00D13C4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sect4"/>
      <w:bookmarkEnd w:id="1"/>
      <w:r w:rsidRPr="00D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тенденции в развитии систем обязательного резервирования за рубежом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основных тенденций развития системы обязательного резервирования зарубежных стран следует отнести.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Расширение прав центральных банков в области обязательного резервирования.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Правовую основу обязательного резервирования во всех зарубежных странах составляет банковское законодательство. Оно фиксирует обязанность банков соблюдать требования по резервированию средств в центральных банках, а также определяет верхние границы нормативов обязательного резервирования. Остальные вопросы центральные банки решают самостоятельно. В результате имеет место повышение гибкости современных систем обязательного резервирования.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2. Сближение правовых основ обязательного регулирования между странами.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последние годы данная тенденция выразилась в создании единой системы минимальных резервов на территории 12 стран - членов Европейского союза.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Европейский центральный банк (ЕЦБ) требует от кредитных институтов стран, входящих в Евросоюз, в том числе их филиалов, расположенных вне европейского пространства, поддерживать на счетах в национальных банках обязательные вклады, которые классифицируются как минимальные резервы.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нормативных документах ЕЦБ сформулированы основные положения системы минимального резервирования: состав институтов, на который распространяется эта система; структура базы резервирования, уровень ставок, порядок расчета и поддержание резервов и т.д.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Сближение правового регулирования систем минимального резервирования касается и других стран. Оно состоит в появлении общих тенденций в развитии механизма обязательного резервирования.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таких тенденций следует отнести постепенное расширение базы резервных требований, снижение норм обязательного резервирования, повышение гибкости механизма соблюдения резервных требований и др.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Расширение базы резервных требований, или базы резервирования, является одним из факторов, определяющих эффективность этой системы.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первоначально эта база состояла главным образом из денежных средств, хранящихся в центральном банке, то постепенно в нее стали включаться и другие высоколиквидные активы: банковские обязательства до 2-х лет в национальной валюте (Великобритания); вклады до востребования и приравненные к ним срочные вклады юридических лиц до 1,5 лет, </w:t>
      </w:r>
      <w:proofErr w:type="spellStart"/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евродепозиты</w:t>
      </w:r>
      <w:proofErr w:type="spellEnd"/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(США); вклады до востребования, срочные до 3-х месяцев; 20% сберегательных вкладов (Швейцария); срочные и прочие вклады, эмиссия ценных бумаг, обязательства по отношению к оффшорным центрам (Япония).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США, Великобритании, Швейцарии и Японии кредитным организациям разрешено засчитывать в счет установленных резервов кассовую наличность.</w:t>
      </w:r>
    </w:p>
    <w:p w:rsidR="00D13C4D" w:rsidRPr="003B1C6F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B1C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странах ЕС в базу резервирования в настоящее время включаются:</w:t>
      </w:r>
    </w:p>
    <w:p w:rsidR="00D13C4D" w:rsidRPr="00D13C4D" w:rsidRDefault="00D13C4D" w:rsidP="00D13C4D">
      <w:pPr>
        <w:numPr>
          <w:ilvl w:val="0"/>
          <w:numId w:val="8"/>
        </w:numPr>
        <w:spacing w:before="36" w:after="36" w:line="24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погашенные вклады (депозиты до востребования);</w:t>
      </w:r>
    </w:p>
    <w:p w:rsidR="00D13C4D" w:rsidRPr="00D13C4D" w:rsidRDefault="00D13C4D" w:rsidP="00D13C4D">
      <w:pPr>
        <w:numPr>
          <w:ilvl w:val="0"/>
          <w:numId w:val="8"/>
        </w:numPr>
        <w:spacing w:before="36" w:after="36" w:line="24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депозиты со сроком погашения до двух лет;</w:t>
      </w:r>
    </w:p>
    <w:p w:rsidR="00D13C4D" w:rsidRPr="00D13C4D" w:rsidRDefault="00D13C4D" w:rsidP="00D13C4D">
      <w:pPr>
        <w:numPr>
          <w:ilvl w:val="0"/>
          <w:numId w:val="8"/>
        </w:numPr>
        <w:spacing w:before="36" w:after="36" w:line="24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депозиты на срок до двух лет с согласованным сроком уведомления об изъятии;</w:t>
      </w:r>
    </w:p>
    <w:p w:rsidR="00D13C4D" w:rsidRPr="00D13C4D" w:rsidRDefault="00D13C4D" w:rsidP="00D13C4D">
      <w:pPr>
        <w:numPr>
          <w:ilvl w:val="0"/>
          <w:numId w:val="8"/>
        </w:numPr>
        <w:spacing w:before="36" w:after="36" w:line="24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долговые обязательства с первоначальной продолжительностью до двух лет;</w:t>
      </w:r>
    </w:p>
    <w:p w:rsidR="00D13C4D" w:rsidRPr="00D13C4D" w:rsidRDefault="00D13C4D" w:rsidP="00D13C4D">
      <w:pPr>
        <w:numPr>
          <w:ilvl w:val="0"/>
          <w:numId w:val="8"/>
        </w:numPr>
        <w:spacing w:before="36" w:after="36" w:line="24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 денежного рынка.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По этой группе обязательств ставка резервирования составляет 2%.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особо выделена группа обязательств, которая входит в базу резервирования, но по которой в настоящее время ставка резервирования равна 0. В эту группу включены:</w:t>
      </w:r>
    </w:p>
    <w:p w:rsidR="00D13C4D" w:rsidRPr="00D13C4D" w:rsidRDefault="00D13C4D" w:rsidP="00D13C4D">
      <w:pPr>
        <w:numPr>
          <w:ilvl w:val="0"/>
          <w:numId w:val="9"/>
        </w:numPr>
        <w:spacing w:before="36" w:after="36" w:line="24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депозиты со сроком погашения более двух лет;</w:t>
      </w:r>
    </w:p>
    <w:p w:rsidR="00D13C4D" w:rsidRPr="00D13C4D" w:rsidRDefault="00D13C4D" w:rsidP="00D13C4D">
      <w:pPr>
        <w:numPr>
          <w:ilvl w:val="0"/>
          <w:numId w:val="9"/>
        </w:numPr>
        <w:spacing w:before="36" w:after="36" w:line="24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депозиты сроком более двух лет с согласованным сроком уведомления об изъятии;</w:t>
      </w:r>
    </w:p>
    <w:p w:rsidR="00D13C4D" w:rsidRPr="00D13C4D" w:rsidRDefault="00D13C4D" w:rsidP="00D13C4D">
      <w:pPr>
        <w:numPr>
          <w:ilvl w:val="0"/>
          <w:numId w:val="9"/>
        </w:numPr>
        <w:spacing w:before="36" w:after="36" w:line="24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долговые обязательства с первоначальным сроком более двух лет;</w:t>
      </w:r>
    </w:p>
    <w:p w:rsidR="00D13C4D" w:rsidRPr="00D13C4D" w:rsidRDefault="00D13C4D" w:rsidP="00D13C4D">
      <w:pPr>
        <w:numPr>
          <w:ilvl w:val="0"/>
          <w:numId w:val="9"/>
        </w:numPr>
        <w:spacing w:before="36" w:after="36" w:line="24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сделки РЕПО.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Снижение нормы (нормативов) обязательных резервов отражает утрату в последние годы значимости данного инструмента для денежно-кредитного регулирования.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показала практика, частый пересмотр норм обязательного резервирования, представляющий инструмент жесткого регулирования эмиссии кредитных денег и ликвидности банковской системы, не дает желаемого эффекта.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регулирования денежной массы все большее значение приобретают операции центральных банков на открытом рынке. Для гарантирования платежеспособности банков во многих странах стала применяться система страхования депозитов.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частое изменение нормативов может привести и приводило в отдельных случаях к обратной реакции. Многие банки либо запасались избыточными резервами, либо стремились разными путями обходить правила резервирования.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 США депозиты, размещенные на еврорынке, не включаются в базу резервирования, а потому могут быть использованы для уклонения в рамках закона от выполнения резервных требований.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изменение норм обязательного резервирования применяется сегодня в ограниченных случаях, в частности, когда необходимо сократить количество денег в обращении, притом признается целесообразность сокращения возможностей кредитного мультипликатора.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последние годы в зарубежных странах используются следующие нормы резервирования (в %): в Великобритании - 0,45; Японии - от 0,125 до 2,5; Швейцарии - 2,5; в странах ЕС - 2.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видно из приведенных данных, нормы обязательных резервов по разным странам имеют большой разброс, однако в целом их уровень невысок.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моментом в применении норм резервирования является их дифференциация. Основными критериями их дифференциации в разные периоды были сроки привлеченных ресурсов, включаемых в базу резервирования, определяющих их ликвидность, и происхождение денежных средств (национальная или иностранная валюта).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Центральный банк Италии в 1987 г. ввел в резервные обязательства вклады в иностранной валюте с тем, чтобы затормозить нежелательный рост денежной массы в иностранной валюте. В то же время в США и Японии, активно работающих на международных рынках, вклады в иностранной валюте либо не подлежат включению в базу резервирования, либо ставка по ним ниже, чем в национальной валюте.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правило, на депозиты до востребования устанавливается более высокая норма резервирования по сравнению с нормами по срочным и сберегательным вкладам.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ряде стран, </w:t>
      </w:r>
      <w:proofErr w:type="gramStart"/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Великобритании и Южной Корее, действуют единые нормы обязательного резервирования.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странах ЕС норма резервирования (2%) пока распространяется лишь на более ликвидные обязательства (средства до востребования и на срок до двух лет).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некоторых странах в случае нарушения банками установленных правил резервирования предусмотрено введение дополнительных резервных требований в процентах от суммы нарушения.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Развитие механизма соблюдения резервных требований, отражающее повышение гибкости системы резервирования в целом.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обязательные и добровольные резервы в большинстве зарубежных стран хранятся на одном счете в центральном банке, возникает сложная задача - как обеспечить поддержание средств обязательных резервов на необходимом уровне.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одной стороны, наличие одного счета для хранения обязательных (минимальных) и добровольных (избыточных) резервов уже само по себе повышает гибкость механизма резервирования, поскольку позволяет при </w:t>
      </w:r>
      <w:proofErr w:type="spellStart"/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колеблемости</w:t>
      </w:r>
      <w:proofErr w:type="spellEnd"/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 банков в платежах использовать имеющиеся на счете денежные средства. С другой стороны, наличие такой возможности предполагает поиск способа соблюдения требований центрального банка относительно величины обязательных резервов, находящихся на этом счете.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 данной задачи способствует развитие такого механизма резервирования, который ориентирует на поддержание необходимого остатка на соответствующем счете в среднем за период.</w:t>
      </w:r>
    </w:p>
    <w:p w:rsidR="00D13C4D" w:rsidRPr="00D13C4D" w:rsidRDefault="00D13C4D" w:rsidP="003B1C6F">
      <w:pPr>
        <w:shd w:val="clear" w:color="auto" w:fill="95B3D7" w:themeFill="accent1" w:themeFillTint="99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sect5"/>
      <w:bookmarkEnd w:id="2"/>
      <w:r w:rsidRPr="00D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Различия в использовании механизма усреднения в США и странах ЕС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принципа усреднения серьезно повышает гибкость механизма обязательного резервирования. Такой механизм характерен для США, Швейцарии, Японии, стран ЕС. При этом для США и стран ЕС он несколько отличен в рамках использования одинаковых понятий и схем реализации.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для механизма обязательного резервирования характерны следующие понятия:</w:t>
      </w:r>
    </w:p>
    <w:p w:rsidR="00D13C4D" w:rsidRPr="00D13C4D" w:rsidRDefault="00D13C4D" w:rsidP="00F623C9">
      <w:pPr>
        <w:numPr>
          <w:ilvl w:val="0"/>
          <w:numId w:val="10"/>
        </w:numPr>
        <w:spacing w:before="36" w:after="3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 минимальных резервов как произведение среднедневных остатков обязательств, включаемых в базу резервирования, за период резервирования на норму (ставку) резервирования;</w:t>
      </w:r>
    </w:p>
    <w:p w:rsidR="00D13C4D" w:rsidRPr="00D13C4D" w:rsidRDefault="00D13C4D" w:rsidP="00F623C9">
      <w:pPr>
        <w:numPr>
          <w:ilvl w:val="0"/>
          <w:numId w:val="10"/>
        </w:numPr>
        <w:spacing w:before="36" w:after="3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фактическая величина минимальных резервов как произведение среднедневных остатков средств на счетах в центральном банке за период поддержания обязательств на норму (ставку) резервирования;</w:t>
      </w:r>
    </w:p>
    <w:p w:rsidR="00D13C4D" w:rsidRPr="00D13C4D" w:rsidRDefault="00D13C4D" w:rsidP="00F623C9">
      <w:pPr>
        <w:numPr>
          <w:ilvl w:val="0"/>
          <w:numId w:val="10"/>
        </w:numPr>
        <w:spacing w:before="36" w:after="3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расчета величины минимальных резервов характеризует период, за который определяются среднедневные остатки обязательств, включаемые в базу резервирования;</w:t>
      </w:r>
    </w:p>
    <w:p w:rsidR="00D13C4D" w:rsidRPr="00D13C4D" w:rsidRDefault="00D13C4D" w:rsidP="00F623C9">
      <w:pPr>
        <w:numPr>
          <w:ilvl w:val="0"/>
          <w:numId w:val="10"/>
        </w:numPr>
        <w:spacing w:before="36" w:after="3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поддержания обязательств характеризует период выполнения обязательств, т.е. период, за который рассчитываются фактические среднедневные остатки средств на счете в центральном банке;</w:t>
      </w:r>
    </w:p>
    <w:p w:rsidR="003B1C6F" w:rsidRDefault="00D13C4D" w:rsidP="00F623C9">
      <w:pPr>
        <w:numPr>
          <w:ilvl w:val="0"/>
          <w:numId w:val="10"/>
        </w:numPr>
        <w:spacing w:before="36" w:after="3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несоблюдение обязательств по минимальным резервам определяется как разница между расчетной и фактической величинами. </w:t>
      </w:r>
    </w:p>
    <w:p w:rsidR="00D13C4D" w:rsidRPr="003B1C6F" w:rsidRDefault="00D13C4D" w:rsidP="003B1C6F">
      <w:pPr>
        <w:spacing w:before="36" w:after="36" w:line="240" w:lineRule="atLeast"/>
        <w:ind w:left="-2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B1C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Различия в содержании этих понятий в системах США и стран ЕС состоят в следующем:</w:t>
      </w:r>
    </w:p>
    <w:p w:rsidR="00D13C4D" w:rsidRPr="00D13C4D" w:rsidRDefault="00D13C4D" w:rsidP="00D13C4D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из указанных систем специфичны состав обязательств, включаемых в базу резервирования, а также нормативы резервирования, что определено соответствующими правовыми актами;</w:t>
      </w:r>
    </w:p>
    <w:p w:rsidR="00D13C4D" w:rsidRPr="00D13C4D" w:rsidRDefault="00D13C4D" w:rsidP="00D13C4D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расчете величины минимальных резервов в системе стран ЕС используется так называемая свободная сумма, которая определена для каждого кредитного института в размере 100 тыс. евро: на указанную сумму может уменьшаться величина минимальных резервов;</w:t>
      </w:r>
    </w:p>
    <w:p w:rsidR="00D13C4D" w:rsidRPr="00D13C4D" w:rsidRDefault="00D13C4D" w:rsidP="00D13C4D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расчета величины минимальных резервов в системе США определен в две недели; в системе стран ЕС - один месяц (с первого по последнее число месяца);</w:t>
      </w:r>
    </w:p>
    <w:p w:rsidR="00D13C4D" w:rsidRPr="00D13C4D" w:rsidRDefault="00D13C4D" w:rsidP="00D13C4D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поддержания обязательств в системе США и стран ЕС определен с 30-дневным шагом между периодом расчета и периодом выполнения обязательств.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означает, что каждая кредитная организация в США рассчитывает минимальные резервы на двухнедельной основе по данным ежедневных остатков обязательств, включенных в базу резервирования; период выполнения обязательств начинается спустя месяц и равен двум неделям. В странах ЕС период расчета базы резервирования и период ее поддержания равны одному месяцу. При этом если период расчета базы резервирования охватывает с первого по последний день месяца, то период поддержания обязательств начинается с 24 числа месяца за месяцем, по которому рассчитана база резервирования, и заканчивается 23 числа следующего месяца. В результате использования принципа отставания кредитные институты еще до начала периода поддержания обязательств уже знают, какой уровень обязательных резервов в центральном банке они должны иметь;</w:t>
      </w:r>
    </w:p>
    <w:p w:rsidR="00D13C4D" w:rsidRPr="00D13C4D" w:rsidRDefault="00D13C4D" w:rsidP="00D13C4D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регулирования величины обязательных резервов осуществляется применительно к периодам поддержания их минимальной величины. Он состоит в оценке соблюдения требований к обязательному резервированию, в выявлении фактов несоблюдения этих требований, в применении </w:t>
      </w: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определенных мер воздействия к кредитным институтам, допустившим такие нарушения.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системах США и стран ЕС применительно к периоду поддержания минимальной величины обязательных резервов расчетная величина сопоставляется с фактической. В случае превышения расчетной величины над фактической имеет место несоблюдение обязательств минимального резервирования, в случае превышения фактической величины над расчетной - создание избыточных резервов.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стран ЕС выявляется лишь факт несоблюдения обязательств минимального резервирования, в системе США выявляются оба результата.</w:t>
      </w:r>
    </w:p>
    <w:p w:rsidR="00D13C4D" w:rsidRP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обязательств минимального резервирования вызывает применение санкций. К ним в системе стран ЕС относится уплата штрафов в определенном размере, а при грубых нарушениях кредитные институты могут лишаться права осуществлять операции на открытом рынке.</w:t>
      </w:r>
    </w:p>
    <w:p w:rsidR="00D13C4D" w:rsidRDefault="00D13C4D" w:rsidP="00D13C4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z w:val="28"/>
          <w:szCs w:val="28"/>
        </w:rPr>
        <w:t>В США по результатам регулирования может разрешаться перенос избытка или дефицита резервов с текущего периода на следующий, что повышает гибкость регулирующих мер.</w:t>
      </w:r>
    </w:p>
    <w:p w:rsidR="003B1C6F" w:rsidRPr="003B1C6F" w:rsidRDefault="0067182D" w:rsidP="003B1C6F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Самостоятельно. </w:t>
      </w:r>
      <w:r w:rsidR="003B1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Контрольные вопросы </w:t>
      </w:r>
      <w:r w:rsidR="003B1C6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(3-6 учебника)</w:t>
      </w:r>
      <w:r w:rsidR="003B1C6F" w:rsidRPr="006718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1C6F" w:rsidRPr="003B1C6F" w:rsidRDefault="003B1C6F" w:rsidP="003B1C6F">
      <w:pPr>
        <w:numPr>
          <w:ilvl w:val="0"/>
          <w:numId w:val="12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C6F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состоит а) административный, б) экономический характер системы обязательного резервирования?</w:t>
      </w:r>
    </w:p>
    <w:p w:rsidR="003B1C6F" w:rsidRPr="003B1C6F" w:rsidRDefault="003B1C6F" w:rsidP="003B1C6F">
      <w:pPr>
        <w:numPr>
          <w:ilvl w:val="0"/>
          <w:numId w:val="12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C6F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отличие механизма добровольного резервирования от обязательного?</w:t>
      </w:r>
    </w:p>
    <w:p w:rsidR="003B1C6F" w:rsidRPr="003B1C6F" w:rsidRDefault="003B1C6F" w:rsidP="003B1C6F">
      <w:pPr>
        <w:numPr>
          <w:ilvl w:val="0"/>
          <w:numId w:val="12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C6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тенденции в развитии зарубежных систем обязательного резервирования.</w:t>
      </w:r>
    </w:p>
    <w:p w:rsidR="003B1C6F" w:rsidRPr="003B1C6F" w:rsidRDefault="003B1C6F" w:rsidP="003B1C6F">
      <w:pPr>
        <w:numPr>
          <w:ilvl w:val="0"/>
          <w:numId w:val="12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C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общие и специфические черты организации обязательного резервирования в зарубежных странах.</w:t>
      </w:r>
    </w:p>
    <w:p w:rsidR="0097474D" w:rsidRPr="003B1C6F" w:rsidRDefault="0097474D" w:rsidP="00D13C4D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7474D" w:rsidRPr="003B1C6F" w:rsidSect="0097474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0C1"/>
    <w:multiLevelType w:val="multilevel"/>
    <w:tmpl w:val="BD3C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17F56"/>
    <w:multiLevelType w:val="multilevel"/>
    <w:tmpl w:val="416E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922D5"/>
    <w:multiLevelType w:val="hybridMultilevel"/>
    <w:tmpl w:val="CF52FA52"/>
    <w:lvl w:ilvl="0" w:tplc="0CD2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426804"/>
    <w:multiLevelType w:val="hybridMultilevel"/>
    <w:tmpl w:val="298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91C61"/>
    <w:multiLevelType w:val="hybridMultilevel"/>
    <w:tmpl w:val="575A8E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534B25"/>
    <w:multiLevelType w:val="multilevel"/>
    <w:tmpl w:val="42AC1E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6" w15:restartNumberingAfterBreak="0">
    <w:nsid w:val="3F0F535E"/>
    <w:multiLevelType w:val="multilevel"/>
    <w:tmpl w:val="F7D8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41116"/>
    <w:multiLevelType w:val="hybridMultilevel"/>
    <w:tmpl w:val="94F624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C51761"/>
    <w:multiLevelType w:val="multilevel"/>
    <w:tmpl w:val="CE960E9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7524D4C"/>
    <w:multiLevelType w:val="multilevel"/>
    <w:tmpl w:val="203C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D43BB"/>
    <w:multiLevelType w:val="multilevel"/>
    <w:tmpl w:val="34C2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7674D"/>
    <w:multiLevelType w:val="multilevel"/>
    <w:tmpl w:val="64BC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6AEE"/>
    <w:rsid w:val="00021983"/>
    <w:rsid w:val="00022B1F"/>
    <w:rsid w:val="00024C22"/>
    <w:rsid w:val="000261FE"/>
    <w:rsid w:val="000269F3"/>
    <w:rsid w:val="00043D96"/>
    <w:rsid w:val="00043F39"/>
    <w:rsid w:val="00044279"/>
    <w:rsid w:val="00044336"/>
    <w:rsid w:val="00052BED"/>
    <w:rsid w:val="00075ADD"/>
    <w:rsid w:val="00077FEF"/>
    <w:rsid w:val="00080397"/>
    <w:rsid w:val="000822A9"/>
    <w:rsid w:val="00087E21"/>
    <w:rsid w:val="0009038C"/>
    <w:rsid w:val="000A47CC"/>
    <w:rsid w:val="000A71F5"/>
    <w:rsid w:val="000C3ED8"/>
    <w:rsid w:val="000C4245"/>
    <w:rsid w:val="000E50B3"/>
    <w:rsid w:val="000F3E6D"/>
    <w:rsid w:val="000F4517"/>
    <w:rsid w:val="0010786C"/>
    <w:rsid w:val="00115261"/>
    <w:rsid w:val="00115C33"/>
    <w:rsid w:val="001218A0"/>
    <w:rsid w:val="00136BFA"/>
    <w:rsid w:val="00141B1D"/>
    <w:rsid w:val="001422C3"/>
    <w:rsid w:val="00142717"/>
    <w:rsid w:val="001505DE"/>
    <w:rsid w:val="00154321"/>
    <w:rsid w:val="00172467"/>
    <w:rsid w:val="00180B26"/>
    <w:rsid w:val="00182A88"/>
    <w:rsid w:val="00190CA8"/>
    <w:rsid w:val="00190E2A"/>
    <w:rsid w:val="00195030"/>
    <w:rsid w:val="001A00F7"/>
    <w:rsid w:val="001B49A1"/>
    <w:rsid w:val="001B74C7"/>
    <w:rsid w:val="001D06CB"/>
    <w:rsid w:val="001E0367"/>
    <w:rsid w:val="001E0ECA"/>
    <w:rsid w:val="002025D8"/>
    <w:rsid w:val="00207658"/>
    <w:rsid w:val="00224917"/>
    <w:rsid w:val="00226F18"/>
    <w:rsid w:val="00236CD7"/>
    <w:rsid w:val="00242028"/>
    <w:rsid w:val="0024257A"/>
    <w:rsid w:val="00251E7D"/>
    <w:rsid w:val="00254F67"/>
    <w:rsid w:val="002653DF"/>
    <w:rsid w:val="00280C35"/>
    <w:rsid w:val="00281400"/>
    <w:rsid w:val="0028217D"/>
    <w:rsid w:val="00283127"/>
    <w:rsid w:val="00294344"/>
    <w:rsid w:val="002B2118"/>
    <w:rsid w:val="002C428C"/>
    <w:rsid w:val="002C73D9"/>
    <w:rsid w:val="002C7623"/>
    <w:rsid w:val="002C7E15"/>
    <w:rsid w:val="002E1EC2"/>
    <w:rsid w:val="002E4519"/>
    <w:rsid w:val="002E4885"/>
    <w:rsid w:val="002E7395"/>
    <w:rsid w:val="002F1DAF"/>
    <w:rsid w:val="002F2CD8"/>
    <w:rsid w:val="00301A64"/>
    <w:rsid w:val="00307BDD"/>
    <w:rsid w:val="003231D3"/>
    <w:rsid w:val="00323EF4"/>
    <w:rsid w:val="00352CFA"/>
    <w:rsid w:val="003560E3"/>
    <w:rsid w:val="00356200"/>
    <w:rsid w:val="00357CB0"/>
    <w:rsid w:val="0036347E"/>
    <w:rsid w:val="00367B26"/>
    <w:rsid w:val="00373F60"/>
    <w:rsid w:val="00382EA3"/>
    <w:rsid w:val="003A537F"/>
    <w:rsid w:val="003B1C6F"/>
    <w:rsid w:val="003E7F5D"/>
    <w:rsid w:val="003F6984"/>
    <w:rsid w:val="0040225F"/>
    <w:rsid w:val="00406EB6"/>
    <w:rsid w:val="00410F07"/>
    <w:rsid w:val="00411FE3"/>
    <w:rsid w:val="004155FC"/>
    <w:rsid w:val="00444678"/>
    <w:rsid w:val="0045181B"/>
    <w:rsid w:val="0045307C"/>
    <w:rsid w:val="00453370"/>
    <w:rsid w:val="00456B54"/>
    <w:rsid w:val="00464491"/>
    <w:rsid w:val="00470921"/>
    <w:rsid w:val="00470AED"/>
    <w:rsid w:val="004804FA"/>
    <w:rsid w:val="0048208E"/>
    <w:rsid w:val="004A0A61"/>
    <w:rsid w:val="004A4DE6"/>
    <w:rsid w:val="004B274E"/>
    <w:rsid w:val="004B54A8"/>
    <w:rsid w:val="004C5ED7"/>
    <w:rsid w:val="004D5FC4"/>
    <w:rsid w:val="004E424C"/>
    <w:rsid w:val="00505214"/>
    <w:rsid w:val="00512653"/>
    <w:rsid w:val="0051406A"/>
    <w:rsid w:val="00516BD5"/>
    <w:rsid w:val="00516BEE"/>
    <w:rsid w:val="00517AC6"/>
    <w:rsid w:val="00532255"/>
    <w:rsid w:val="00533253"/>
    <w:rsid w:val="00550445"/>
    <w:rsid w:val="00555820"/>
    <w:rsid w:val="005578E4"/>
    <w:rsid w:val="005625F4"/>
    <w:rsid w:val="00573BDD"/>
    <w:rsid w:val="005774AB"/>
    <w:rsid w:val="00582A90"/>
    <w:rsid w:val="005952CE"/>
    <w:rsid w:val="005A0DA4"/>
    <w:rsid w:val="005E7B0D"/>
    <w:rsid w:val="005F61FE"/>
    <w:rsid w:val="00613E9B"/>
    <w:rsid w:val="00617649"/>
    <w:rsid w:val="00622E6B"/>
    <w:rsid w:val="006307CD"/>
    <w:rsid w:val="00636704"/>
    <w:rsid w:val="00652150"/>
    <w:rsid w:val="006564CA"/>
    <w:rsid w:val="0065731D"/>
    <w:rsid w:val="00660201"/>
    <w:rsid w:val="006623F4"/>
    <w:rsid w:val="006702A4"/>
    <w:rsid w:val="0067182D"/>
    <w:rsid w:val="0067515E"/>
    <w:rsid w:val="00680A32"/>
    <w:rsid w:val="006943BC"/>
    <w:rsid w:val="006A26AA"/>
    <w:rsid w:val="006B4913"/>
    <w:rsid w:val="006B7F1E"/>
    <w:rsid w:val="006C7818"/>
    <w:rsid w:val="006D1288"/>
    <w:rsid w:val="006E178D"/>
    <w:rsid w:val="006E39C1"/>
    <w:rsid w:val="006E5488"/>
    <w:rsid w:val="007075EF"/>
    <w:rsid w:val="007117F0"/>
    <w:rsid w:val="00712ACE"/>
    <w:rsid w:val="00713ADE"/>
    <w:rsid w:val="00717ACC"/>
    <w:rsid w:val="00720B20"/>
    <w:rsid w:val="00742C60"/>
    <w:rsid w:val="00755E68"/>
    <w:rsid w:val="0076476C"/>
    <w:rsid w:val="00770B45"/>
    <w:rsid w:val="00793622"/>
    <w:rsid w:val="00797335"/>
    <w:rsid w:val="007A3E42"/>
    <w:rsid w:val="007A3FE1"/>
    <w:rsid w:val="007B4D38"/>
    <w:rsid w:val="007C3961"/>
    <w:rsid w:val="007C7AAC"/>
    <w:rsid w:val="007D5F1B"/>
    <w:rsid w:val="007E73B6"/>
    <w:rsid w:val="007F408A"/>
    <w:rsid w:val="00801682"/>
    <w:rsid w:val="0080736C"/>
    <w:rsid w:val="00807B19"/>
    <w:rsid w:val="00812E09"/>
    <w:rsid w:val="00815AB2"/>
    <w:rsid w:val="00817053"/>
    <w:rsid w:val="0082371B"/>
    <w:rsid w:val="00830440"/>
    <w:rsid w:val="00830FB0"/>
    <w:rsid w:val="00831BAA"/>
    <w:rsid w:val="00832AF0"/>
    <w:rsid w:val="00834BFD"/>
    <w:rsid w:val="00845544"/>
    <w:rsid w:val="0085472E"/>
    <w:rsid w:val="00857A3E"/>
    <w:rsid w:val="00877B51"/>
    <w:rsid w:val="0088728B"/>
    <w:rsid w:val="00895272"/>
    <w:rsid w:val="008A1AF3"/>
    <w:rsid w:val="008A30C7"/>
    <w:rsid w:val="008B231B"/>
    <w:rsid w:val="008C2D9D"/>
    <w:rsid w:val="008D2A14"/>
    <w:rsid w:val="008D6414"/>
    <w:rsid w:val="008D6F58"/>
    <w:rsid w:val="00900BB8"/>
    <w:rsid w:val="009018B7"/>
    <w:rsid w:val="00903F91"/>
    <w:rsid w:val="0090550B"/>
    <w:rsid w:val="00911947"/>
    <w:rsid w:val="00912DDB"/>
    <w:rsid w:val="009344C8"/>
    <w:rsid w:val="00950ED6"/>
    <w:rsid w:val="00961CA6"/>
    <w:rsid w:val="00964B5D"/>
    <w:rsid w:val="00973D75"/>
    <w:rsid w:val="0097474D"/>
    <w:rsid w:val="0097694E"/>
    <w:rsid w:val="00985782"/>
    <w:rsid w:val="00993BC3"/>
    <w:rsid w:val="009B03C2"/>
    <w:rsid w:val="009B183A"/>
    <w:rsid w:val="009B3551"/>
    <w:rsid w:val="009C5996"/>
    <w:rsid w:val="009D16C8"/>
    <w:rsid w:val="009D359C"/>
    <w:rsid w:val="009D6122"/>
    <w:rsid w:val="009E00B0"/>
    <w:rsid w:val="009E3E6E"/>
    <w:rsid w:val="009E4B90"/>
    <w:rsid w:val="009E72FB"/>
    <w:rsid w:val="009F415E"/>
    <w:rsid w:val="00A00265"/>
    <w:rsid w:val="00A0077A"/>
    <w:rsid w:val="00A05F09"/>
    <w:rsid w:val="00A06AEE"/>
    <w:rsid w:val="00A134A6"/>
    <w:rsid w:val="00A161B7"/>
    <w:rsid w:val="00A20ECB"/>
    <w:rsid w:val="00A23D42"/>
    <w:rsid w:val="00A2516C"/>
    <w:rsid w:val="00A37CA5"/>
    <w:rsid w:val="00A434BA"/>
    <w:rsid w:val="00A450BE"/>
    <w:rsid w:val="00A479F3"/>
    <w:rsid w:val="00A533FE"/>
    <w:rsid w:val="00A540ED"/>
    <w:rsid w:val="00A6165D"/>
    <w:rsid w:val="00A65972"/>
    <w:rsid w:val="00A764B8"/>
    <w:rsid w:val="00AA5595"/>
    <w:rsid w:val="00AA562F"/>
    <w:rsid w:val="00AB3CFC"/>
    <w:rsid w:val="00AC20AC"/>
    <w:rsid w:val="00AC2F31"/>
    <w:rsid w:val="00AE02E7"/>
    <w:rsid w:val="00AE5DA4"/>
    <w:rsid w:val="00B00CF1"/>
    <w:rsid w:val="00B02BD9"/>
    <w:rsid w:val="00B10D61"/>
    <w:rsid w:val="00B11228"/>
    <w:rsid w:val="00B131B4"/>
    <w:rsid w:val="00B15611"/>
    <w:rsid w:val="00B34B75"/>
    <w:rsid w:val="00B351E8"/>
    <w:rsid w:val="00B42CEF"/>
    <w:rsid w:val="00B6331C"/>
    <w:rsid w:val="00B97D23"/>
    <w:rsid w:val="00BA198F"/>
    <w:rsid w:val="00BA72C9"/>
    <w:rsid w:val="00BB1632"/>
    <w:rsid w:val="00BB22FD"/>
    <w:rsid w:val="00BC54C3"/>
    <w:rsid w:val="00BD5464"/>
    <w:rsid w:val="00BE2EB2"/>
    <w:rsid w:val="00BE7932"/>
    <w:rsid w:val="00BE7989"/>
    <w:rsid w:val="00BF7A73"/>
    <w:rsid w:val="00C00656"/>
    <w:rsid w:val="00C1286C"/>
    <w:rsid w:val="00C13FFD"/>
    <w:rsid w:val="00C4761A"/>
    <w:rsid w:val="00C51A6C"/>
    <w:rsid w:val="00C5502B"/>
    <w:rsid w:val="00C62FF4"/>
    <w:rsid w:val="00C64480"/>
    <w:rsid w:val="00C662FC"/>
    <w:rsid w:val="00C72671"/>
    <w:rsid w:val="00C91913"/>
    <w:rsid w:val="00CA0F5F"/>
    <w:rsid w:val="00CC687C"/>
    <w:rsid w:val="00CD0841"/>
    <w:rsid w:val="00CD5477"/>
    <w:rsid w:val="00CE4542"/>
    <w:rsid w:val="00CF43D6"/>
    <w:rsid w:val="00D00FAD"/>
    <w:rsid w:val="00D12F79"/>
    <w:rsid w:val="00D13C4D"/>
    <w:rsid w:val="00D14EE4"/>
    <w:rsid w:val="00D168AD"/>
    <w:rsid w:val="00D258CB"/>
    <w:rsid w:val="00D34DB0"/>
    <w:rsid w:val="00D42F5E"/>
    <w:rsid w:val="00D458AA"/>
    <w:rsid w:val="00D5177A"/>
    <w:rsid w:val="00D6407B"/>
    <w:rsid w:val="00D658A2"/>
    <w:rsid w:val="00D65BB8"/>
    <w:rsid w:val="00D70330"/>
    <w:rsid w:val="00D7444C"/>
    <w:rsid w:val="00DB145F"/>
    <w:rsid w:val="00DD0852"/>
    <w:rsid w:val="00DD1F92"/>
    <w:rsid w:val="00DE1467"/>
    <w:rsid w:val="00DE2D64"/>
    <w:rsid w:val="00DF0016"/>
    <w:rsid w:val="00E11B97"/>
    <w:rsid w:val="00E14D52"/>
    <w:rsid w:val="00E2718D"/>
    <w:rsid w:val="00E34660"/>
    <w:rsid w:val="00E43D78"/>
    <w:rsid w:val="00E563B2"/>
    <w:rsid w:val="00E62E1A"/>
    <w:rsid w:val="00E76A50"/>
    <w:rsid w:val="00E77DFD"/>
    <w:rsid w:val="00E86A19"/>
    <w:rsid w:val="00E87EA2"/>
    <w:rsid w:val="00E94D5E"/>
    <w:rsid w:val="00E97708"/>
    <w:rsid w:val="00EA3012"/>
    <w:rsid w:val="00EA607B"/>
    <w:rsid w:val="00EB243E"/>
    <w:rsid w:val="00ED1C1A"/>
    <w:rsid w:val="00ED483F"/>
    <w:rsid w:val="00EE3CD2"/>
    <w:rsid w:val="00EF306C"/>
    <w:rsid w:val="00F0554B"/>
    <w:rsid w:val="00F05E19"/>
    <w:rsid w:val="00F243B0"/>
    <w:rsid w:val="00F45E63"/>
    <w:rsid w:val="00F471A3"/>
    <w:rsid w:val="00F54E1A"/>
    <w:rsid w:val="00F623C9"/>
    <w:rsid w:val="00F67AF2"/>
    <w:rsid w:val="00F7087D"/>
    <w:rsid w:val="00F7629B"/>
    <w:rsid w:val="00F76333"/>
    <w:rsid w:val="00F8164A"/>
    <w:rsid w:val="00F85C0F"/>
    <w:rsid w:val="00F916A4"/>
    <w:rsid w:val="00F920CC"/>
    <w:rsid w:val="00F92820"/>
    <w:rsid w:val="00FA5E13"/>
    <w:rsid w:val="00FB2D71"/>
    <w:rsid w:val="00FB4469"/>
    <w:rsid w:val="00FC3902"/>
    <w:rsid w:val="00FC6E9C"/>
    <w:rsid w:val="00FC734A"/>
    <w:rsid w:val="00FD2D9B"/>
    <w:rsid w:val="00FD6435"/>
    <w:rsid w:val="00FE0C8F"/>
    <w:rsid w:val="00FE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997B1-D11F-4B66-82BC-9033054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D52"/>
  </w:style>
  <w:style w:type="paragraph" w:styleId="1">
    <w:name w:val="heading 1"/>
    <w:basedOn w:val="a"/>
    <w:next w:val="a"/>
    <w:link w:val="10"/>
    <w:uiPriority w:val="9"/>
    <w:qFormat/>
    <w:rsid w:val="00A06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6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AEE"/>
    <w:rPr>
      <w:b/>
      <w:bCs/>
    </w:rPr>
  </w:style>
  <w:style w:type="character" w:customStyle="1" w:styleId="apple-converted-space">
    <w:name w:val="apple-converted-space"/>
    <w:basedOn w:val="a0"/>
    <w:rsid w:val="00A06AEE"/>
  </w:style>
  <w:style w:type="character" w:customStyle="1" w:styleId="30">
    <w:name w:val="Заголовок 3 Знак"/>
    <w:basedOn w:val="a0"/>
    <w:link w:val="3"/>
    <w:uiPriority w:val="9"/>
    <w:rsid w:val="00A06A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06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01A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01A6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301A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1"/>
    <w:basedOn w:val="a0"/>
    <w:rsid w:val="00F9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8">
    <w:name w:val="Основной текст + Полужирный"/>
    <w:basedOn w:val="a0"/>
    <w:rsid w:val="00F92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9">
    <w:name w:val="Основной текст_"/>
    <w:basedOn w:val="a0"/>
    <w:link w:val="31"/>
    <w:rsid w:val="0029434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7pt">
    <w:name w:val="Основной текст (3) + 7 pt;Не полужирный"/>
    <w:basedOn w:val="a0"/>
    <w:rsid w:val="00294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3"/>
    <w:basedOn w:val="a"/>
    <w:link w:val="a9"/>
    <w:rsid w:val="00294344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PlusTitle">
    <w:name w:val="ConsPlusTitle"/>
    <w:uiPriority w:val="99"/>
    <w:rsid w:val="005625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13C4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9082-D137-4EBB-8E40-900B14FD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book</cp:lastModifiedBy>
  <cp:revision>2</cp:revision>
  <cp:lastPrinted>2017-10-11T13:29:00Z</cp:lastPrinted>
  <dcterms:created xsi:type="dcterms:W3CDTF">2020-10-22T07:40:00Z</dcterms:created>
  <dcterms:modified xsi:type="dcterms:W3CDTF">2020-10-22T07:40:00Z</dcterms:modified>
</cp:coreProperties>
</file>