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60" w:rsidRPr="00BB263D" w:rsidRDefault="00BB263D" w:rsidP="00BB263D">
      <w:pPr>
        <w:pStyle w:val="10"/>
        <w:keepNext/>
        <w:keepLines/>
        <w:shd w:val="clear" w:color="auto" w:fill="auto"/>
        <w:spacing w:after="271"/>
        <w:ind w:firstLine="0"/>
        <w:jc w:val="center"/>
        <w:rPr>
          <w:rFonts w:asciiTheme="majorHAnsi" w:hAnsiTheme="majorHAnsi"/>
          <w:i/>
        </w:rPr>
      </w:pPr>
      <w:bookmarkStart w:id="0" w:name="_GoBack"/>
      <w:bookmarkEnd w:id="0"/>
      <w:r w:rsidRPr="00BB263D">
        <w:rPr>
          <w:rFonts w:asciiTheme="majorHAnsi" w:hAnsiTheme="majorHAnsi" w:cstheme="minorHAnsi"/>
          <w:i/>
        </w:rPr>
        <w:t>ПРАВОВЫЕ АСПЕКТЫ ТРУДОУСТРОЙСТВА</w:t>
      </w:r>
      <w:r w:rsidR="00864C60" w:rsidRPr="00BB263D">
        <w:rPr>
          <w:rFonts w:asciiTheme="majorHAnsi" w:hAnsiTheme="majorHAnsi"/>
          <w:i/>
        </w:rPr>
        <w:t>.</w:t>
      </w:r>
    </w:p>
    <w:p w:rsidR="00864C60" w:rsidRDefault="00864C60" w:rsidP="00BB263D">
      <w:pPr>
        <w:spacing w:after="0"/>
        <w:ind w:firstLine="743"/>
        <w:jc w:val="both"/>
      </w:pPr>
      <w:r>
        <w:t>Лучшим защитником от недобросовестных работодателей является знание трудового законодательства.</w:t>
      </w:r>
    </w:p>
    <w:p w:rsidR="00864C60" w:rsidRDefault="00864C60" w:rsidP="00BB263D">
      <w:pPr>
        <w:spacing w:after="0"/>
        <w:ind w:firstLine="740"/>
        <w:jc w:val="both"/>
      </w:pPr>
      <w:r>
        <w:t>Основные правовые документы - это Конституция РФ, Трудовой кодекс РФ, федеральные законы и законы субъектов РФ, а также коллективные договоры, соглашения, локальные нормативные акты и иные государственные нормативные акты (указы Президента РФ, Правительства РФ и т.д.), содержащие нормы трудового права.</w:t>
      </w:r>
    </w:p>
    <w:p w:rsidR="00864C60" w:rsidRDefault="00864C60" w:rsidP="00BB263D">
      <w:pPr>
        <w:ind w:firstLine="740"/>
        <w:jc w:val="both"/>
      </w:pPr>
      <w:proofErr w:type="gramStart"/>
      <w:r>
        <w:rPr>
          <w:rStyle w:val="21"/>
          <w:rFonts w:eastAsia="Courier New"/>
        </w:rPr>
        <w:t>Любой человек имеет право на труд</w:t>
      </w:r>
      <w:r>
        <w:t>,</w:t>
      </w:r>
      <w:r w:rsidR="00BB263D">
        <w:t xml:space="preserve">  </w:t>
      </w:r>
      <w:r>
        <w:t xml:space="preserve"> о чем гласят статья 37 Конституции РФ и статья 3 Трудового кодекса РФ, которые подтверждают право свободно распоряжаться своими способностями к труду, выбирать род деятельности и профессию, запрет на ограничение в трудовых правах и свободах в зависимости от обстоятельств, не связанных с деловыми качествами работника.</w:t>
      </w:r>
      <w:proofErr w:type="gramEnd"/>
      <w:r>
        <w:t xml:space="preserve"> </w:t>
      </w:r>
      <w:r w:rsidR="00BB263D">
        <w:t xml:space="preserve"> </w:t>
      </w:r>
      <w:proofErr w:type="gramStart"/>
      <w:r>
        <w:t xml:space="preserve">Пол, </w:t>
      </w:r>
      <w:r w:rsidR="00BB263D">
        <w:t xml:space="preserve"> </w:t>
      </w:r>
      <w:r>
        <w:t>раса, цвет кожи, национальность, религиозные и политические убеждения, язык, происхождение, имущественное, социальное, семейное и должностное положение, возраст, место жительства не могут служить основанием для отказа кандидату в приеме на работу.</w:t>
      </w:r>
      <w:proofErr w:type="gramEnd"/>
    </w:p>
    <w:p w:rsidR="00BB263D" w:rsidRDefault="00864C60" w:rsidP="00BB263D">
      <w:pPr>
        <w:ind w:firstLine="740"/>
        <w:jc w:val="both"/>
      </w:pPr>
      <w:r>
        <w:t xml:space="preserve">Основой взаимодействия работодателя и работника является </w:t>
      </w:r>
      <w:r>
        <w:rPr>
          <w:rStyle w:val="21"/>
          <w:rFonts w:eastAsia="Courier New"/>
        </w:rPr>
        <w:t>трудовой договор</w:t>
      </w:r>
      <w:r>
        <w:t>, который выступает в качестве письменного подтверждения трудовых отношений. Трудовой договор содержит обязательные пункты, отсутствие которых делает данный документ недействительным.</w:t>
      </w:r>
    </w:p>
    <w:p w:rsidR="00864C60" w:rsidRDefault="00864C60" w:rsidP="00BB263D">
      <w:pPr>
        <w:spacing w:after="0"/>
        <w:jc w:val="both"/>
      </w:pPr>
      <w:r>
        <w:rPr>
          <w:rStyle w:val="21"/>
          <w:rFonts w:eastAsia="Courier New"/>
        </w:rPr>
        <w:t>В содержании договора должны фигурировать следующие моменты: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место работы;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дата начала работы /срок его действия;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условия оплаты труда;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режим рабочего времени и времени отдыха;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компенсации за тяжелую работу и работу с вредными и/или опасными условиями труда, с указанием характеристик условий труда на рабочем месте;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0" w:line="322" w:lineRule="exact"/>
        <w:ind w:left="740" w:hanging="340"/>
        <w:jc w:val="both"/>
      </w:pPr>
      <w:r>
        <w:t>условия, определяющие в необходимых случаях характер работы;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2"/>
        </w:tabs>
        <w:spacing w:after="276" w:line="317" w:lineRule="exact"/>
        <w:ind w:left="740" w:hanging="340"/>
        <w:jc w:val="both"/>
      </w:pPr>
      <w:r>
        <w:t>условие об обязательном социальном страховании работника в соответствии с настоящим ТК РФ и иными федеральными законами.</w:t>
      </w:r>
    </w:p>
    <w:p w:rsidR="00864C60" w:rsidRDefault="00864C60" w:rsidP="00BB263D">
      <w:pPr>
        <w:jc w:val="both"/>
      </w:pPr>
      <w:r>
        <w:rPr>
          <w:rStyle w:val="21"/>
          <w:rFonts w:eastAsia="Courier New"/>
        </w:rPr>
        <w:t xml:space="preserve">Работодатель не имеет право включать в трудовой договор </w:t>
      </w:r>
      <w:r>
        <w:t>такие пункты, как: дополнительные основания для увольнения, не установленные законом дисциплинарные взыскания, введение для работников полной материальной ответственности, кроме случаев, оговоренных в ТК РФ.</w:t>
      </w:r>
    </w:p>
    <w:p w:rsidR="00864C60" w:rsidRDefault="00864C60" w:rsidP="00BB263D">
      <w:pPr>
        <w:jc w:val="both"/>
      </w:pPr>
      <w:r>
        <w:t xml:space="preserve">Трудовой договор составляется обязательно </w:t>
      </w:r>
      <w:r>
        <w:rPr>
          <w:rStyle w:val="21"/>
          <w:rFonts w:eastAsia="Courier New"/>
        </w:rPr>
        <w:t>в письменной форме, в двух экземплярах</w:t>
      </w:r>
      <w:r>
        <w:t>, каждый из которых подписывается сторонами. Один экземпляр трудового договора остается у работника, другой хранится у работодателя.</w:t>
      </w:r>
    </w:p>
    <w:p w:rsidR="00864C60" w:rsidRDefault="00864C60" w:rsidP="00BB263D">
      <w:pPr>
        <w:jc w:val="both"/>
      </w:pPr>
      <w:r>
        <w:t xml:space="preserve">Трудовой договор может заключаться как </w:t>
      </w:r>
      <w:r>
        <w:rPr>
          <w:rStyle w:val="21"/>
          <w:rFonts w:eastAsia="Courier New"/>
        </w:rPr>
        <w:t>на неопределенный срок</w:t>
      </w:r>
      <w:r>
        <w:t xml:space="preserve">, так и на определенное время (сроком до 5 лет) - в этом случае он называется </w:t>
      </w:r>
      <w:r>
        <w:rPr>
          <w:rStyle w:val="21"/>
          <w:rFonts w:eastAsia="Courier New"/>
        </w:rPr>
        <w:t>«срочный трудовой договор»</w:t>
      </w:r>
      <w:r>
        <w:t>. Срочный договор заключается в нескольких случаях, которые предполагают, как правило, выполнение временных или сезонных работ, замещение отсутствующего сотрудника.</w:t>
      </w:r>
    </w:p>
    <w:p w:rsidR="00864C60" w:rsidRDefault="00864C60" w:rsidP="00BB263D">
      <w:pPr>
        <w:pStyle w:val="30"/>
        <w:shd w:val="clear" w:color="auto" w:fill="auto"/>
        <w:jc w:val="both"/>
      </w:pPr>
      <w:r>
        <w:rPr>
          <w:rStyle w:val="31"/>
        </w:rPr>
        <w:lastRenderedPageBreak/>
        <w:t xml:space="preserve">При приеме на работу работодатель просит предоставить </w:t>
      </w:r>
      <w:r>
        <w:t>ряд документов, которые необходимы для заключения трудового договора: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паспорт или иной документ, удостоверяющий личность;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трудовая книжка и страховое свидетельство государственного пенсионного страхования (за исключением случаев, когда трудовой договор заключается впервые или работник поступает на работу на условиях совместительства);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документы воинского учета - для военнообязанных и лиц, подлежащих призыву на военную службу;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280" w:line="322" w:lineRule="exact"/>
        <w:ind w:left="760" w:hanging="360"/>
        <w:jc w:val="both"/>
      </w:pPr>
      <w: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864C60" w:rsidRDefault="00864C60" w:rsidP="00BB263D">
      <w:pPr>
        <w:ind w:firstLine="760"/>
        <w:jc w:val="both"/>
      </w:pPr>
      <w:r>
        <w:t xml:space="preserve">Если работник устраивается на работу впервые, то работодатель обязан завести </w:t>
      </w:r>
      <w:r>
        <w:rPr>
          <w:rStyle w:val="21"/>
          <w:rFonts w:eastAsia="Courier New"/>
        </w:rPr>
        <w:t>трудовую книжку</w:t>
      </w:r>
      <w:r>
        <w:t>, являющуюся основным документом о трудовой деятельности и трудовом стаже работника. Работодатель ведет трудовую книжку на каждого работника, проработавшего у него свыше 5 дней, в случае, когда работа у данного работодателя является для работника основной.</w:t>
      </w:r>
    </w:p>
    <w:p w:rsidR="00864C60" w:rsidRDefault="00864C60" w:rsidP="00C32B35">
      <w:pPr>
        <w:spacing w:after="0"/>
        <w:jc w:val="both"/>
      </w:pPr>
      <w:r>
        <w:t xml:space="preserve">Одним из важных моментов при устройстве на работу является </w:t>
      </w:r>
      <w:r>
        <w:rPr>
          <w:rStyle w:val="21"/>
          <w:rFonts w:eastAsia="Courier New"/>
        </w:rPr>
        <w:t>испытательный срок</w:t>
      </w:r>
      <w:r>
        <w:t>, который устанавливается практически для всех категорий работников.</w:t>
      </w:r>
    </w:p>
    <w:p w:rsidR="00864C60" w:rsidRDefault="00864C60" w:rsidP="00C32B35">
      <w:pPr>
        <w:pStyle w:val="30"/>
        <w:shd w:val="clear" w:color="auto" w:fill="auto"/>
        <w:jc w:val="both"/>
      </w:pPr>
      <w:r w:rsidRPr="00C32B35">
        <w:rPr>
          <w:b/>
        </w:rPr>
        <w:t>Испытание не может устанавливаться</w:t>
      </w:r>
      <w:r>
        <w:t>: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беременным женщинам и женщинам, имею</w:t>
      </w:r>
      <w:r>
        <w:rPr>
          <w:rFonts w:eastAsia="Courier New"/>
        </w:rPr>
        <w:t>щ</w:t>
      </w:r>
      <w:r>
        <w:t>им детей в возрасте до 1,5 лет;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лицам, не достигшим возраста 18 лет;</w:t>
      </w:r>
    </w:p>
    <w:p w:rsidR="00864C60" w:rsidRPr="00BB263D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  <w:rPr>
          <w:b/>
          <w:u w:val="single"/>
        </w:rPr>
      </w:pPr>
      <w:r w:rsidRPr="00BB263D">
        <w:rPr>
          <w:b/>
        </w:rPr>
        <w:t xml:space="preserve">лицам, окончившим имеющие государственную аккредитацию образовательные учреждения начального, среднего и высшего профессионального образования и </w:t>
      </w:r>
      <w:r w:rsidRPr="00BB263D">
        <w:rPr>
          <w:b/>
          <w:u w:val="single"/>
        </w:rPr>
        <w:t>впервые поступающим на работу по полученной специальности в течение одного года со дня окончания образовательного учреждения;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лицам, приглашенным на работу в порядке перевода от другого работодателя по согласованию между работодателями;</w:t>
      </w:r>
    </w:p>
    <w:p w:rsidR="00864C60" w:rsidRDefault="00864C60" w:rsidP="00C32B35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t>лицам, заключающих трудовой договор на срок до двух месяцев.</w:t>
      </w:r>
    </w:p>
    <w:p w:rsidR="00864C60" w:rsidRPr="00C32B35" w:rsidRDefault="00864C60" w:rsidP="00C32B35">
      <w:pPr>
        <w:pStyle w:val="10"/>
        <w:keepNext/>
        <w:keepLines/>
        <w:shd w:val="clear" w:color="auto" w:fill="auto"/>
        <w:ind w:left="760" w:hanging="760"/>
        <w:jc w:val="left"/>
        <w:rPr>
          <w:b/>
          <w:i/>
        </w:rPr>
      </w:pPr>
      <w:r w:rsidRPr="00C32B35">
        <w:rPr>
          <w:b/>
          <w:i/>
        </w:rPr>
        <w:t>Испытательный срок не может превышать: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rPr>
          <w:rStyle w:val="21"/>
          <w:rFonts w:eastAsia="Courier New"/>
        </w:rPr>
        <w:t xml:space="preserve">2 недель </w:t>
      </w:r>
      <w:r>
        <w:t>для договоров сроком от 2 до 6 месяцев;</w:t>
      </w:r>
    </w:p>
    <w:p w:rsidR="00864C60" w:rsidRDefault="00864C60" w:rsidP="00BB263D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760" w:hanging="360"/>
        <w:jc w:val="both"/>
      </w:pPr>
      <w:r>
        <w:rPr>
          <w:rStyle w:val="21"/>
          <w:rFonts w:eastAsia="Courier New"/>
        </w:rPr>
        <w:t xml:space="preserve">3 месяцев </w:t>
      </w:r>
      <w:r>
        <w:t>для договоров сроком свыше 6 месяцев;</w:t>
      </w:r>
    </w:p>
    <w:p w:rsidR="00864C60" w:rsidRDefault="00864C60" w:rsidP="00C32B35">
      <w:pPr>
        <w:widowControl w:val="0"/>
        <w:numPr>
          <w:ilvl w:val="0"/>
          <w:numId w:val="1"/>
        </w:numPr>
        <w:tabs>
          <w:tab w:val="left" w:pos="753"/>
        </w:tabs>
        <w:spacing w:after="120" w:line="322" w:lineRule="exact"/>
        <w:ind w:left="760" w:hanging="360"/>
        <w:jc w:val="both"/>
      </w:pPr>
      <w:r>
        <w:rPr>
          <w:rStyle w:val="21"/>
          <w:rFonts w:eastAsia="Courier New"/>
        </w:rPr>
        <w:t xml:space="preserve">6 месяцев </w:t>
      </w:r>
      <w:r>
        <w:t>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организаций.</w:t>
      </w:r>
    </w:p>
    <w:p w:rsidR="00864C60" w:rsidRDefault="00864C60" w:rsidP="00C32B35">
      <w:pPr>
        <w:spacing w:after="120"/>
        <w:ind w:firstLine="743"/>
        <w:jc w:val="both"/>
      </w:pPr>
      <w:r>
        <w:rPr>
          <w:rStyle w:val="21"/>
          <w:rFonts w:eastAsia="Courier New"/>
        </w:rPr>
        <w:t xml:space="preserve">При неудовлетворительном результате испытания </w:t>
      </w:r>
      <w:r>
        <w:t xml:space="preserve">работодатель имеет право до истечения срока испытания расторгнуть трудовой договор с работником, предупредив его об этом в письменной форме не </w:t>
      </w:r>
      <w:r w:rsidR="00BB263D">
        <w:t>позднее,</w:t>
      </w:r>
      <w:r>
        <w:t xml:space="preserve"> чем за 3 дня с указанием причин расторжения. </w:t>
      </w:r>
      <w:r>
        <w:rPr>
          <w:rStyle w:val="21"/>
          <w:rFonts w:eastAsia="Courier New"/>
        </w:rPr>
        <w:t>Если срок испытания истек, а работник продолжает работу</w:t>
      </w:r>
      <w:r>
        <w:t>, то он считается выдержавшим испытание и последующее расторжение договора допускается только на общих основаниях.</w:t>
      </w:r>
    </w:p>
    <w:p w:rsidR="008B237D" w:rsidRDefault="00864C60" w:rsidP="00C32B35">
      <w:pPr>
        <w:spacing w:after="0"/>
        <w:ind w:firstLine="743"/>
        <w:jc w:val="both"/>
      </w:pPr>
      <w:r>
        <w:t>Таким образом, знание законов позволит работнику защитить свои права, не дать себя обмануть, пройти все тяготы трудоустройства с высоко поднятой головой. Ориентирование в трудовом законодательстве если и не поможет избежать увольнения, то, по крайней мере, сделает данную процедуру цивилизованной. Юридическое невежество может привести работника к весьма печальным последствиям: от невыполнения условий договора до увольнения без компенсации за отработанное в организации время.</w:t>
      </w:r>
    </w:p>
    <w:sectPr w:rsidR="008B237D" w:rsidSect="00C32B3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51C"/>
    <w:multiLevelType w:val="multilevel"/>
    <w:tmpl w:val="BA1A0A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8E"/>
    <w:rsid w:val="00135CEA"/>
    <w:rsid w:val="0019615F"/>
    <w:rsid w:val="00864C60"/>
    <w:rsid w:val="008B237D"/>
    <w:rsid w:val="00BB263D"/>
    <w:rsid w:val="00C32B35"/>
    <w:rsid w:val="00D22B95"/>
    <w:rsid w:val="00F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64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C6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864C6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C6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864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64C60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aliases w:val="Курсив"/>
    <w:basedOn w:val="2"/>
    <w:rsid w:val="00864C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864C60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64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C6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864C6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C6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864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64C60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aliases w:val="Курсив"/>
    <w:basedOn w:val="2"/>
    <w:rsid w:val="00864C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864C60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2016-01-12T09:03:00Z</dcterms:created>
  <dcterms:modified xsi:type="dcterms:W3CDTF">2016-01-18T05:10:00Z</dcterms:modified>
</cp:coreProperties>
</file>